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bookmarkStart w:id="1" w:name="_GoBack"/>
      <w:r>
        <w:rPr>
          <w:rFonts w:hint="eastAsia" w:ascii="Times New Roman" w:hAnsi="Times New Roman" w:eastAsia="仿宋_GB2312" w:cs="Times New Roman"/>
          <w:b/>
          <w:bCs/>
          <w:sz w:val="28"/>
          <w:szCs w:val="28"/>
          <w:lang w:val="en-US" w:eastAsia="zh-CN" w:bidi="ar"/>
        </w:rPr>
        <w:t>海南屯昌县达兴环保砖有限责任公司</w:t>
      </w:r>
    </w:p>
    <w:bookmarkEnd w:id="1"/>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建设项目</w:t>
      </w: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GB" w:eastAsia="zh-CN"/>
        </w:rPr>
        <w:t>海南屯昌县达兴环保砖有限责任公司建设生产1.2亿块页岩空心烧结砖厂</w:t>
      </w:r>
      <w:r>
        <w:rPr>
          <w:rFonts w:hint="eastAsia" w:ascii="Times New Roman" w:hAnsi="Times New Roman" w:eastAsia="仿宋_GB2312" w:cs="Times New Roman"/>
          <w:b w:val="0"/>
          <w:bCs w:val="0"/>
          <w:sz w:val="28"/>
          <w:szCs w:val="28"/>
          <w:highlight w:val="none"/>
          <w:lang w:val="en-US" w:eastAsia="zh-CN"/>
        </w:rPr>
        <w:t>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b w:val="0"/>
          <w:bCs w:val="0"/>
          <w:sz w:val="28"/>
          <w:szCs w:val="28"/>
          <w:lang w:val="en-US" w:eastAsia="zh-CN" w:bidi="ar"/>
        </w:rPr>
        <w:t>海南屯昌县达兴环保砖有限责任公司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sz w:val="28"/>
          <w:szCs w:val="28"/>
        </w:rPr>
        <w:t>位于海南岛西北部儋州辖属海岸、洋浦港神头港区神尖角附近，紧邻海南炼化码头，</w:t>
      </w:r>
      <w:r>
        <w:rPr>
          <w:rFonts w:hint="eastAsia" w:ascii="Times New Roman" w:hAnsi="Times New Roman" w:eastAsia="仿宋_GB2312" w:cs="Times New Roman"/>
          <w:sz w:val="28"/>
          <w:szCs w:val="28"/>
          <w:lang w:eastAsia="zh-CN"/>
        </w:rPr>
        <w:t>濒临</w:t>
      </w:r>
      <w:r>
        <w:rPr>
          <w:rFonts w:hint="default" w:ascii="Times New Roman" w:hAnsi="Times New Roman" w:eastAsia="仿宋_GB2312" w:cs="Times New Roman"/>
          <w:sz w:val="28"/>
          <w:szCs w:val="28"/>
        </w:rPr>
        <w:t>北部湾，东面为陆地，陆路至</w:t>
      </w:r>
      <w:r>
        <w:rPr>
          <w:rFonts w:hint="default" w:ascii="Times New Roman" w:hAnsi="Times New Roman" w:eastAsia="仿宋_GB2312" w:cs="Times New Roman"/>
          <w:spacing w:val="-5"/>
          <w:sz w:val="28"/>
          <w:szCs w:val="28"/>
        </w:rPr>
        <w:t>海口约137km，至八所港</w:t>
      </w:r>
      <w:r>
        <w:rPr>
          <w:rFonts w:hint="default" w:ascii="Times New Roman" w:hAnsi="Times New Roman" w:eastAsia="仿宋_GB2312" w:cs="Times New Roman"/>
          <w:spacing w:val="-4"/>
          <w:sz w:val="28"/>
          <w:szCs w:val="28"/>
        </w:rPr>
        <w:t>124km</w:t>
      </w:r>
      <w:r>
        <w:rPr>
          <w:rFonts w:hint="default" w:ascii="Times New Roman" w:hAnsi="Times New Roman" w:eastAsia="仿宋_GB2312" w:cs="Times New Roman"/>
          <w:spacing w:val="-17"/>
          <w:sz w:val="28"/>
          <w:szCs w:val="28"/>
        </w:rPr>
        <w:t>，至儋州</w:t>
      </w:r>
      <w:r>
        <w:rPr>
          <w:rFonts w:hint="default" w:ascii="Times New Roman" w:hAnsi="Times New Roman" w:eastAsia="仿宋_GB2312" w:cs="Times New Roman"/>
          <w:spacing w:val="-4"/>
          <w:sz w:val="28"/>
          <w:szCs w:val="28"/>
        </w:rPr>
        <w:t>（那大）60km</w:t>
      </w:r>
      <w:r>
        <w:rPr>
          <w:rFonts w:hint="default" w:ascii="Times New Roman" w:hAnsi="Times New Roman" w:eastAsia="仿宋_GB2312" w:cs="Times New Roman"/>
          <w:spacing w:val="-13"/>
          <w:sz w:val="28"/>
          <w:szCs w:val="28"/>
        </w:rPr>
        <w:t>。水路至湛江港</w:t>
      </w:r>
      <w:r>
        <w:rPr>
          <w:rFonts w:hint="default" w:ascii="Times New Roman" w:hAnsi="Times New Roman" w:eastAsia="仿宋_GB2312" w:cs="Times New Roman"/>
          <w:spacing w:val="-4"/>
          <w:sz w:val="28"/>
          <w:szCs w:val="28"/>
        </w:rPr>
        <w:t>173</w:t>
      </w:r>
      <w:r>
        <w:rPr>
          <w:rFonts w:hint="default" w:ascii="Times New Roman" w:hAnsi="Times New Roman" w:eastAsia="仿宋_GB2312" w:cs="Times New Roman"/>
          <w:spacing w:val="-68"/>
          <w:sz w:val="28"/>
          <w:szCs w:val="28"/>
        </w:rPr>
        <w:t xml:space="preserve"> </w:t>
      </w:r>
      <w:r>
        <w:rPr>
          <w:rFonts w:hint="default" w:ascii="Times New Roman" w:hAnsi="Times New Roman" w:eastAsia="仿宋_GB2312" w:cs="Times New Roman"/>
          <w:spacing w:val="-9"/>
          <w:sz w:val="28"/>
          <w:szCs w:val="28"/>
        </w:rPr>
        <w:t>海里，至广州港</w:t>
      </w:r>
      <w:r>
        <w:rPr>
          <w:rFonts w:hint="default" w:ascii="Times New Roman" w:hAnsi="Times New Roman" w:eastAsia="仿宋_GB2312" w:cs="Times New Roman"/>
          <w:spacing w:val="-2"/>
          <w:sz w:val="28"/>
          <w:szCs w:val="28"/>
        </w:rPr>
        <w:t>450</w:t>
      </w:r>
      <w:r>
        <w:rPr>
          <w:rFonts w:hint="default" w:ascii="Times New Roman" w:hAnsi="Times New Roman" w:eastAsia="仿宋_GB2312" w:cs="Times New Roman"/>
          <w:spacing w:val="-8"/>
          <w:sz w:val="28"/>
          <w:szCs w:val="28"/>
        </w:rPr>
        <w:t>海里，至海口港</w:t>
      </w:r>
      <w:r>
        <w:rPr>
          <w:rFonts w:hint="default" w:ascii="Times New Roman" w:hAnsi="Times New Roman" w:eastAsia="仿宋_GB2312" w:cs="Times New Roman"/>
          <w:spacing w:val="-3"/>
          <w:sz w:val="28"/>
          <w:szCs w:val="28"/>
        </w:rPr>
        <w:t>87</w:t>
      </w:r>
      <w:r>
        <w:rPr>
          <w:rFonts w:hint="default" w:ascii="Times New Roman" w:hAnsi="Times New Roman" w:eastAsia="仿宋_GB2312" w:cs="Times New Roman"/>
          <w:spacing w:val="-8"/>
          <w:sz w:val="28"/>
          <w:szCs w:val="28"/>
        </w:rPr>
        <w:t>海里，至八所港</w:t>
      </w:r>
      <w:r>
        <w:rPr>
          <w:rFonts w:hint="default" w:ascii="Times New Roman" w:hAnsi="Times New Roman" w:eastAsia="仿宋_GB2312" w:cs="Times New Roman"/>
          <w:spacing w:val="-3"/>
          <w:sz w:val="28"/>
          <w:szCs w:val="28"/>
        </w:rPr>
        <w:t>54</w:t>
      </w:r>
      <w:r>
        <w:rPr>
          <w:rFonts w:hint="default" w:ascii="Times New Roman" w:hAnsi="Times New Roman" w:eastAsia="仿宋_GB2312" w:cs="Times New Roman"/>
          <w:spacing w:val="-9"/>
          <w:sz w:val="28"/>
          <w:szCs w:val="28"/>
        </w:rPr>
        <w:t>海里，至香港</w:t>
      </w:r>
      <w:r>
        <w:rPr>
          <w:rFonts w:hint="default" w:ascii="Times New Roman" w:hAnsi="Times New Roman" w:eastAsia="仿宋_GB2312" w:cs="Times New Roman"/>
          <w:spacing w:val="-2"/>
          <w:sz w:val="28"/>
          <w:szCs w:val="28"/>
        </w:rPr>
        <w:t>389</w:t>
      </w:r>
      <w:r>
        <w:rPr>
          <w:rFonts w:hint="default" w:ascii="Times New Roman" w:hAnsi="Times New Roman" w:eastAsia="仿宋_GB2312" w:cs="Times New Roman"/>
          <w:spacing w:val="-68"/>
          <w:sz w:val="28"/>
          <w:szCs w:val="28"/>
        </w:rPr>
        <w:t xml:space="preserve"> </w:t>
      </w:r>
      <w:r>
        <w:rPr>
          <w:rFonts w:hint="default" w:ascii="Times New Roman" w:hAnsi="Times New Roman" w:eastAsia="仿宋_GB2312" w:cs="Times New Roman"/>
          <w:sz w:val="28"/>
          <w:szCs w:val="28"/>
        </w:rPr>
        <w:t>海里，至越南的海防港151海里</w:t>
      </w:r>
      <w:r>
        <w:rPr>
          <w:rFonts w:hint="default" w:ascii="Times New Roman" w:hAnsi="Times New Roman" w:eastAsia="仿宋_GB2312" w:cs="Times New Roman"/>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谢宝灵</w:t>
      </w:r>
    </w:p>
    <w:p>
      <w:pPr>
        <w:keepNext w:val="0"/>
        <w:keepLines w:val="0"/>
        <w:pageBreakBefore w:val="0"/>
        <w:widowControl w:val="0"/>
        <w:kinsoku/>
        <w:wordWrap/>
        <w:overflowPunct/>
        <w:topLinePunct w:val="0"/>
        <w:autoSpaceDE/>
        <w:autoSpaceDN/>
        <w:bidi w:val="0"/>
        <w:adjustRightInd w:val="0"/>
        <w:snapToGrid w:val="0"/>
        <w:spacing w:line="490" w:lineRule="exact"/>
        <w:ind w:right="0" w:rightChars="0" w:firstLine="562" w:firstLineChars="200"/>
        <w:textAlignment w:val="auto"/>
        <w:outlineLvl w:val="9"/>
        <w:rPr>
          <w:rFonts w:hint="eastAsia" w:eastAsia="仿宋_GB2312"/>
          <w:bCs/>
          <w:color w:val="000000"/>
          <w:sz w:val="28"/>
          <w:szCs w:val="28"/>
          <w:lang w:val="en-US" w:eastAsia="zh-CN"/>
        </w:rPr>
      </w:pPr>
      <w:r>
        <w:rPr>
          <w:rFonts w:hint="default" w:ascii="Times New Roman" w:hAnsi="Times New Roman" w:eastAsia="仿宋_GB2312" w:cs="Times New Roman"/>
          <w:b/>
          <w:bCs/>
          <w:sz w:val="28"/>
          <w:szCs w:val="28"/>
          <w:lang w:val="en-US" w:eastAsia="zh-CN"/>
        </w:rPr>
        <w:t>项目简介：</w:t>
      </w:r>
      <w:bookmarkStart w:id="0" w:name="_Toc11566"/>
      <w:r>
        <w:rPr>
          <w:rFonts w:hint="eastAsia" w:ascii="Times New Roman" w:hAnsi="Times New Roman" w:eastAsia="仿宋_GB2312" w:cs="Times New Roman"/>
          <w:sz w:val="28"/>
          <w:szCs w:val="28"/>
        </w:rPr>
        <w:t>烧结粘土实心砖是我国传统的建筑材料，在以往我国的城乡建设中曾起到过十分重要的作用。但是，传统烧结粘土实心砖生产及使用过程的弊端也是显而易见的，破坏植被，大量毁坏良田、污染环境；浪费能源、功能低下等缺陷成为世界各国清出市场的对象。在我国经济建设发展的今天，已成为影响基本国策的社会问题。在我国利废原料如煤矸石、页岩、淤泥烧结砖空心砖和工业废渣综合利用是今后砖瓦工业发展的主导方向。</w:t>
      </w:r>
      <w:r>
        <w:rPr>
          <w:rFonts w:hint="eastAsia" w:ascii="Times New Roman" w:hAnsi="Times New Roman" w:eastAsia="仿宋_GB2312"/>
          <w:sz w:val="28"/>
          <w:szCs w:val="28"/>
          <w:lang w:eastAsia="zh-CN"/>
        </w:rPr>
        <w:t>海南屯昌县达兴环保砖有限责任公司</w:t>
      </w:r>
      <w:r>
        <w:rPr>
          <w:rFonts w:hint="eastAsia" w:ascii="Times New Roman" w:hAnsi="Times New Roman" w:eastAsia="仿宋_GB2312" w:cs="Times New Roman"/>
          <w:sz w:val="28"/>
          <w:szCs w:val="28"/>
          <w:lang w:eastAsia="zh-CN"/>
        </w:rPr>
        <w:t>建设规模为年产</w:t>
      </w:r>
      <w:r>
        <w:rPr>
          <w:rFonts w:hint="eastAsia" w:ascii="Times New Roman" w:hAnsi="Times New Roman" w:eastAsia="仿宋_GB2312" w:cs="Times New Roman"/>
          <w:sz w:val="28"/>
          <w:szCs w:val="28"/>
          <w:lang w:val="en-US" w:eastAsia="zh-CN"/>
        </w:rPr>
        <w:t>1.2亿块（折标）页岩空心烧结砖，项目实施投产后，不仅能缓解、新型墙体材料市场的供需矛盾，而且为屯昌县的墙体材料革新起到示范作用，同时吸纳大量农村剩余劳动力工作，对当地村民脱贫致富，建设社会主义新农村具有积极的促进作用。</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林玲、钟国天</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default" w:ascii="Times New Roman" w:hAnsi="Times New Roman" w:eastAsia="仿宋_GB2312" w:cs="Times New Roman"/>
          <w:b w:val="0"/>
          <w:bCs w:val="0"/>
          <w:sz w:val="28"/>
          <w:szCs w:val="28"/>
          <w:highlight w:val="none"/>
          <w:lang w:val="en-US" w:eastAsia="zh-CN"/>
        </w:rPr>
        <w:t>202</w:t>
      </w:r>
      <w:r>
        <w:rPr>
          <w:rFonts w:hint="eastAsia" w:ascii="Times New Roman" w:hAnsi="Times New Roman" w:eastAsia="仿宋_GB2312" w:cs="Times New Roman"/>
          <w:b w:val="0"/>
          <w:bCs w:val="0"/>
          <w:sz w:val="28"/>
          <w:szCs w:val="28"/>
          <w:highlight w:val="none"/>
          <w:lang w:val="en-US" w:eastAsia="zh-CN"/>
        </w:rPr>
        <w:t>1</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US" w:eastAsia="zh-CN"/>
        </w:rPr>
        <w:t>11</w:t>
      </w:r>
      <w:r>
        <w:rPr>
          <w:rFonts w:hint="default" w:ascii="Times New Roman" w:hAnsi="Times New Roman" w:eastAsia="仿宋_GB2312" w:cs="Times New Roman"/>
          <w:b w:val="0"/>
          <w:bCs w:val="0"/>
          <w:sz w:val="28"/>
          <w:szCs w:val="28"/>
          <w:highlight w:val="none"/>
          <w:lang w:val="en-US" w:eastAsia="zh-CN"/>
        </w:rPr>
        <w:t>.</w:t>
      </w:r>
      <w:r>
        <w:rPr>
          <w:rFonts w:hint="eastAsia" w:ascii="Times New Roman" w:hAnsi="Times New Roman" w:eastAsia="仿宋_GB2312" w:cs="Times New Roman"/>
          <w:b w:val="0"/>
          <w:bCs w:val="0"/>
          <w:sz w:val="28"/>
          <w:szCs w:val="28"/>
          <w:highlight w:val="no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谢宝灵</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b w:val="0"/>
          <w:bCs/>
          <w:color w:val="000000"/>
          <w:sz w:val="28"/>
          <w:szCs w:val="28"/>
          <w:highlight w:val="none"/>
          <w:lang w:val="en-US" w:eastAsia="zh-CN"/>
        </w:rPr>
        <w:t>：</w:t>
      </w:r>
      <w:r>
        <w:rPr>
          <w:rFonts w:hint="eastAsia" w:ascii="Times New Roman" w:hAnsi="Times New Roman" w:eastAsia="仿宋_GB2312"/>
          <w:b w:val="0"/>
          <w:bCs/>
          <w:color w:val="000000"/>
          <w:sz w:val="28"/>
          <w:szCs w:val="28"/>
          <w:highlight w:val="none"/>
          <w:lang w:val="en-US" w:eastAsia="zh-CN"/>
        </w:rPr>
        <w:t>矽</w:t>
      </w:r>
      <w:r>
        <w:rPr>
          <w:rFonts w:hint="eastAsia" w:ascii="Times New Roman" w:hAnsi="Times New Roman" w:eastAsia="仿宋_GB2312"/>
          <w:b w:val="0"/>
          <w:bCs/>
          <w:color w:val="000000"/>
          <w:sz w:val="28"/>
          <w:szCs w:val="28"/>
          <w:highlight w:val="none"/>
          <w:lang w:val="en-US" w:eastAsia="zh-CN"/>
        </w:rPr>
        <w:t>尘、</w:t>
      </w:r>
      <w:r>
        <w:rPr>
          <w:rFonts w:hint="eastAsia" w:ascii="Times New Roman" w:hAnsi="Times New Roman" w:eastAsia="仿宋_GB2312"/>
          <w:b w:val="0"/>
          <w:bCs/>
          <w:color w:val="000000"/>
          <w:sz w:val="28"/>
          <w:szCs w:val="28"/>
          <w:highlight w:val="none"/>
          <w:lang w:val="en-US" w:eastAsia="zh-CN"/>
        </w:rPr>
        <w:t>煤尘、电焊烟尘、二氧化硫、氮氧化物、氢氧化钠、锰及其化合物、臭氧、一氧化碳、电焊弧光、</w:t>
      </w:r>
      <w:r>
        <w:rPr>
          <w:rFonts w:ascii="Times New Roman" w:hAnsi="Times New Roman" w:eastAsia="仿宋_GB2312"/>
          <w:b w:val="0"/>
          <w:bCs/>
          <w:color w:val="000000"/>
          <w:sz w:val="28"/>
          <w:szCs w:val="28"/>
          <w:highlight w:val="none"/>
        </w:rPr>
        <w:t>噪声、</w:t>
      </w:r>
      <w:r>
        <w:rPr>
          <w:rFonts w:hint="eastAsia" w:ascii="Times New Roman" w:hAnsi="Times New Roman" w:eastAsia="仿宋_GB2312"/>
          <w:b w:val="0"/>
          <w:bCs/>
          <w:color w:val="000000"/>
          <w:sz w:val="28"/>
          <w:szCs w:val="28"/>
          <w:highlight w:val="none"/>
          <w:lang w:eastAsia="zh-CN"/>
        </w:rPr>
        <w:t>工频电场、</w:t>
      </w:r>
      <w:r>
        <w:rPr>
          <w:rFonts w:hint="eastAsia" w:ascii="Times New Roman" w:hAnsi="Times New Roman" w:eastAsia="仿宋_GB2312"/>
          <w:b w:val="0"/>
          <w:bCs/>
          <w:color w:val="000000"/>
          <w:sz w:val="28"/>
          <w:szCs w:val="28"/>
          <w:highlight w:val="none"/>
          <w:lang w:val="en-US" w:eastAsia="zh-CN"/>
        </w:rPr>
        <w:t>高温</w:t>
      </w:r>
      <w:r>
        <w:rPr>
          <w:rFonts w:hint="default" w:ascii="Times New Roman" w:hAnsi="Times New Roman" w:eastAsia="仿宋_GB2312" w:cs="Times New Roman"/>
          <w:color w:val="000000"/>
          <w:sz w:val="28"/>
          <w:szCs w:val="28"/>
          <w:highlight w:val="none"/>
          <w:lang w:eastAsia="zh-CN"/>
        </w:rPr>
        <w:t>等</w:t>
      </w:r>
      <w:r>
        <w:rPr>
          <w:rFonts w:hint="default" w:ascii="Times New Roman" w:hAnsi="Times New Roman" w:eastAsia="仿宋_GB2312" w:cs="Times New Roman"/>
          <w:color w:val="000000"/>
          <w:sz w:val="28"/>
          <w:szCs w:val="28"/>
          <w:highlight w:val="none"/>
        </w:rPr>
        <w:t>职业病危害因素</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w:t>通过现场调查与检测结果可知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各岗位浓</w:t>
      </w:r>
      <w:r>
        <w:rPr>
          <w:rFonts w:hint="eastAsia" w:ascii="Times New Roman" w:hAnsi="Times New Roman" w:eastAsia="仿宋_GB2312" w:cs="Times New Roman"/>
          <w:b w:val="0"/>
          <w:bCs w:val="0"/>
          <w:color w:val="auto"/>
          <w:kern w:val="28"/>
          <w:sz w:val="28"/>
          <w:szCs w:val="28"/>
          <w:highlight w:val="none"/>
          <w:lang w:val="en-US" w:eastAsia="zh-CN"/>
        </w:rPr>
        <w:t>强度符合国家职业接触限值。</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eastAsia" w:eastAsia="仿宋_GB2312" w:cs="Times New Roman"/>
          <w:color w:val="auto"/>
          <w:sz w:val="28"/>
          <w:szCs w:val="28"/>
          <w:highlight w:val="none"/>
          <w:lang w:val="en-US" w:eastAsia="zh-CN"/>
        </w:rPr>
        <w:t>根据预评价报告可知《</w:t>
      </w:r>
      <w:r>
        <w:rPr>
          <w:rFonts w:hint="eastAsia" w:eastAsia="仿宋_GB2312"/>
          <w:color w:val="auto"/>
          <w:sz w:val="28"/>
          <w:szCs w:val="28"/>
          <w:highlight w:val="none"/>
        </w:rPr>
        <w:t>建设项目职业病危害风险 分类管理目录(2012年版)》安监总安健〔2012〕73号规定， 本项目</w:t>
      </w:r>
      <w:r>
        <w:rPr>
          <w:rFonts w:hint="eastAsia" w:eastAsia="仿宋_GB2312"/>
          <w:color w:val="auto"/>
          <w:sz w:val="28"/>
          <w:szCs w:val="28"/>
          <w:highlight w:val="none"/>
          <w:lang w:val="en-US" w:eastAsia="zh-CN"/>
        </w:rPr>
        <w:t>之前</w:t>
      </w:r>
      <w:r>
        <w:rPr>
          <w:rFonts w:hint="eastAsia" w:eastAsia="仿宋_GB2312"/>
          <w:color w:val="auto"/>
          <w:sz w:val="28"/>
          <w:szCs w:val="28"/>
          <w:highlight w:val="none"/>
        </w:rPr>
        <w:t>定性为职业病危害较重的建设项目。</w:t>
      </w:r>
      <w:r>
        <w:rPr>
          <w:rFonts w:hint="eastAsia" w:eastAsia="仿宋_GB2312"/>
          <w:color w:val="auto"/>
          <w:sz w:val="28"/>
          <w:szCs w:val="28"/>
          <w:highlight w:val="none"/>
          <w:lang w:val="en-US" w:eastAsia="zh-CN"/>
        </w:rPr>
        <w:t>2021年后</w:t>
      </w:r>
      <w:r>
        <w:rPr>
          <w:rFonts w:hint="eastAsia" w:eastAsia="仿宋_GB2312"/>
          <w:color w:val="auto"/>
          <w:sz w:val="28"/>
          <w:szCs w:val="28"/>
          <w:highlight w:val="none"/>
        </w:rPr>
        <w:t>安监总安健〔2012〕73号</w:t>
      </w:r>
      <w:r>
        <w:rPr>
          <w:rFonts w:hint="eastAsia" w:eastAsia="仿宋_GB2312"/>
          <w:color w:val="auto"/>
          <w:sz w:val="28"/>
          <w:szCs w:val="28"/>
          <w:highlight w:val="none"/>
          <w:lang w:val="en-US" w:eastAsia="zh-CN"/>
        </w:rPr>
        <w:t>废止，</w:t>
      </w:r>
      <w:r>
        <w:rPr>
          <w:rFonts w:hint="eastAsia" w:eastAsia="仿宋_GB2312" w:cs="Times New Roman"/>
          <w:color w:val="auto"/>
          <w:sz w:val="28"/>
          <w:szCs w:val="28"/>
          <w:highlight w:val="none"/>
          <w:lang w:val="en-US" w:eastAsia="zh-CN"/>
        </w:rPr>
        <w:t>新颁布</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国家卫生健康委办公厅关于公布建设项目职业病危害风险分类管理目录的通知</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国卫办职健发</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2021</w:t>
      </w:r>
      <w:r>
        <w:rPr>
          <w:rFonts w:hint="default" w:ascii="Times New Roman" w:hAnsi="Times New Roman" w:eastAsia="仿宋_GB2312" w:cs="Times New Roman"/>
          <w:color w:val="auto"/>
          <w:sz w:val="28"/>
          <w:szCs w:val="28"/>
          <w:highlight w:val="none"/>
        </w:rPr>
        <w:t>〕5号），</w:t>
      </w:r>
      <w:r>
        <w:rPr>
          <w:rFonts w:hint="eastAsia" w:ascii="Times New Roman" w:hAnsi="Times New Roman" w:eastAsia="仿宋_GB2312" w:cs="Times New Roman"/>
          <w:color w:val="auto"/>
          <w:sz w:val="28"/>
          <w:szCs w:val="28"/>
          <w:highlight w:val="none"/>
          <w:lang w:val="en-US" w:eastAsia="zh-CN"/>
        </w:rPr>
        <w:t>本</w:t>
      </w:r>
      <w:r>
        <w:rPr>
          <w:rFonts w:hint="default" w:ascii="Times New Roman" w:hAnsi="Times New Roman" w:eastAsia="仿宋_GB2312" w:cs="Times New Roman"/>
          <w:color w:val="auto"/>
          <w:sz w:val="28"/>
          <w:szCs w:val="28"/>
          <w:highlight w:val="none"/>
        </w:rPr>
        <w:t>项目</w:t>
      </w:r>
      <w:r>
        <w:rPr>
          <w:rFonts w:hint="eastAsia" w:ascii="Times New Roman" w:hAnsi="Times New Roman" w:eastAsia="仿宋_GB2312" w:cs="Times New Roman"/>
          <w:color w:val="auto"/>
          <w:sz w:val="28"/>
          <w:szCs w:val="28"/>
          <w:highlight w:val="none"/>
          <w:lang w:val="en-US" w:eastAsia="zh-CN"/>
        </w:rPr>
        <w:t>归类“</w:t>
      </w:r>
      <w:r>
        <w:rPr>
          <w:rFonts w:hint="eastAsia" w:ascii="Times New Roman" w:hAnsi="Times New Roman" w:eastAsia="仿宋_GB2312" w:cs="Times New Roman"/>
          <w:sz w:val="28"/>
          <w:szCs w:val="28"/>
          <w:highlight w:val="none"/>
          <w:lang w:val="en-US" w:eastAsia="zh-CN"/>
        </w:rPr>
        <w:t>砖瓦石材等建筑材料制造</w:t>
      </w:r>
      <w:r>
        <w:rPr>
          <w:rFonts w:hint="eastAsia"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属于可能产生“</w:t>
      </w:r>
      <w:r>
        <w:rPr>
          <w:rFonts w:hint="eastAsia" w:ascii="Times New Roman" w:hAnsi="Times New Roman" w:eastAsia="仿宋_GB2312"/>
          <w:b/>
          <w:bCs/>
          <w:sz w:val="28"/>
          <w:szCs w:val="28"/>
          <w:highlight w:val="none"/>
        </w:rPr>
        <w:t>职业病危害严重建设项目</w:t>
      </w:r>
      <w:r>
        <w:rPr>
          <w:rFonts w:hint="default" w:ascii="Times New Roman" w:hAnsi="Times New Roman" w:eastAsia="仿宋_GB2312" w:cs="Times New Roman"/>
          <w:color w:val="auto"/>
          <w:sz w:val="28"/>
          <w:szCs w:val="28"/>
          <w:highlight w:val="none"/>
        </w:rPr>
        <w:t>”的建设项目。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TQ1MDE1M2ZmZjM0ZTVjNWFhYTlkYWNlMzJhNjIifQ=="/>
  </w:docVars>
  <w:rsids>
    <w:rsidRoot w:val="3B962269"/>
    <w:rsid w:val="02AF463D"/>
    <w:rsid w:val="08694B96"/>
    <w:rsid w:val="09C830AC"/>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40A01BFB"/>
    <w:rsid w:val="418A2E7A"/>
    <w:rsid w:val="424F26ED"/>
    <w:rsid w:val="44BC2C73"/>
    <w:rsid w:val="600F2178"/>
    <w:rsid w:val="681F1498"/>
    <w:rsid w:val="68A815DC"/>
    <w:rsid w:val="6EEA6B63"/>
    <w:rsid w:val="73AB494D"/>
    <w:rsid w:val="756B4DE9"/>
    <w:rsid w:val="77000D3D"/>
    <w:rsid w:val="776664A1"/>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firstLineChars="200"/>
    </w:pPr>
  </w:style>
  <w:style w:type="paragraph" w:styleId="6">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8">
    <w:name w:val="index heading"/>
    <w:basedOn w:val="1"/>
    <w:next w:val="9"/>
    <w:semiHidden/>
    <w:qFormat/>
    <w:uiPriority w:val="0"/>
    <w:rPr>
      <w:rFonts w:ascii="Arial" w:hAnsi="Arial" w:cs="Arial"/>
      <w:b/>
      <w:bCs/>
    </w:rPr>
  </w:style>
  <w:style w:type="paragraph" w:styleId="9">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样式1"/>
    <w:basedOn w:val="8"/>
    <w:next w:val="7"/>
    <w:qFormat/>
    <w:uiPriority w:val="0"/>
  </w:style>
  <w:style w:type="character" w:customStyle="1" w:styleId="14">
    <w:name w:val="正文文本缩进 Char"/>
    <w:basedOn w:val="12"/>
    <w:link w:val="6"/>
    <w:qFormat/>
    <w:uiPriority w:val="0"/>
    <w:rPr>
      <w:kern w:val="2"/>
      <w:sz w:val="28"/>
      <w:szCs w:val="24"/>
    </w:rPr>
  </w:style>
  <w:style w:type="character" w:customStyle="1" w:styleId="15">
    <w:name w:val="标题 2 Char"/>
    <w:basedOn w:val="12"/>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1261</Words>
  <Characters>1312</Characters>
  <Lines>0</Lines>
  <Paragraphs>0</Paragraphs>
  <TotalTime>1</TotalTime>
  <ScaleCrop>false</ScaleCrop>
  <LinksUpToDate>false</LinksUpToDate>
  <CharactersWithSpaces>1316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2023-02-13T02:38:16Z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5222EC6A2A60414A80AD7EB11524DD1A</vt:lpwstr>
  </property>
</Properties>
</file>