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>海南鲜友食品有限公司</w:t>
      </w:r>
    </w:p>
    <w:bookmarkEnd w:id="0"/>
    <w:p>
      <w:pPr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 w:bidi="ar"/>
        </w:rPr>
        <w:t>职业病危害现状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评价网上公开信息</w:t>
      </w:r>
    </w:p>
    <w:p>
      <w:pPr>
        <w:adjustRightInd w:val="0"/>
        <w:snapToGrid w:val="0"/>
        <w:spacing w:line="490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根据《职业卫生技术服务机构工作规范》的要求，现将《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海南鲜友食品有限公司职业病危害现状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评价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报告书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》相关信息公示如下：</w:t>
      </w:r>
    </w:p>
    <w:p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评价单位：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海南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兆博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检测科技有限公司。</w:t>
      </w:r>
    </w:p>
    <w:p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建设单位：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海南鲜友食品有限公司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项目地理位置：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海南省琼海市塔洋镇联先村农业科技示范园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项目联系人：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钟师</w:t>
      </w:r>
    </w:p>
    <w:p>
      <w:pPr>
        <w:spacing w:line="490" w:lineRule="exact"/>
        <w:ind w:firstLine="562" w:firstLineChars="200"/>
        <w:jc w:val="left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项目简介：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海南鲜友食品有限公司成立于2015年1月，投产运行时间为2015年3月，位于海南省琼海市塔洋镇联先村农业科技示范园。主打产品100%冷冻果汁系列、速冻鲜果肉系列，以“新鲜”、“健康”、“无添加”、的产品路线打造，绿色、健康的品牌形象,致力于发展产、供、销三位一体的水果生态产业链。海南鲜友公司琼海工厂面积为20亩，主打特色水果加工厂。</w:t>
      </w:r>
    </w:p>
    <w:p>
      <w:pPr>
        <w:spacing w:line="490" w:lineRule="exact"/>
        <w:ind w:firstLine="560" w:firstLineChars="200"/>
        <w:jc w:val="left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本次现状评价为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海南鲜友食品有限公司的首次评价。</w:t>
      </w:r>
    </w:p>
    <w:p>
      <w:pPr>
        <w:numPr>
          <w:ilvl w:val="0"/>
          <w:numId w:val="0"/>
        </w:numPr>
        <w:ind w:firstLine="562" w:firstLineChars="200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现场调查人员：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林玲</w:t>
      </w:r>
    </w:p>
    <w:p>
      <w:pPr>
        <w:numPr>
          <w:ilvl w:val="0"/>
          <w:numId w:val="0"/>
        </w:numPr>
        <w:ind w:firstLine="562" w:firstLineChars="200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现场调查时间：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2022.6.2</w:t>
      </w:r>
    </w:p>
    <w:p>
      <w:pPr>
        <w:numPr>
          <w:ilvl w:val="0"/>
          <w:numId w:val="0"/>
        </w:numPr>
        <w:ind w:firstLine="562" w:firstLineChars="200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建设单位陪同人：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钟师</w:t>
      </w:r>
    </w:p>
    <w:p>
      <w:pPr>
        <w:numPr>
          <w:ilvl w:val="0"/>
          <w:numId w:val="0"/>
        </w:numPr>
        <w:ind w:firstLine="562" w:firstLineChars="200"/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建设项目存在的主要职业病危害因素及检测结果：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建设项目产生和存在的主要职业病危害因素有：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 w:bidi="ar"/>
        </w:rPr>
        <w:t>其他粉尘、二氧化氯、臭氧、甲烷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 w:bidi="ar"/>
        </w:rPr>
        <w:t>氨、硫化氢、噪声、高温、照度、工频电场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通过对建设项目的综合分析，根据现场检测结果可知，在正常生产条件下，工作场所各岗位接触的职业病危害因素的浓度（强度）均符合职业卫生接触限值的要求。</w:t>
      </w:r>
    </w:p>
    <w:p>
      <w:pPr>
        <w:numPr>
          <w:ilvl w:val="0"/>
          <w:numId w:val="0"/>
        </w:numPr>
        <w:ind w:firstLine="562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评价结论与建议：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评价结论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下表</w:t>
      </w:r>
    </w:p>
    <w:p>
      <w:pPr>
        <w:pStyle w:val="16"/>
        <w:spacing w:line="460" w:lineRule="exact"/>
        <w:ind w:firstLine="482" w:firstLineChars="200"/>
        <w:jc w:val="center"/>
        <w:textAlignment w:val="baseline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表</w:t>
      </w:r>
      <w:r>
        <w:rPr>
          <w:rFonts w:hint="eastAsia" w:ascii="Times New Roman" w:cs="Times New Roman"/>
          <w:b/>
          <w:bCs/>
          <w:sz w:val="24"/>
          <w:szCs w:val="24"/>
          <w:lang w:val="en-US" w:eastAsia="zh-CN"/>
        </w:rPr>
        <w:t>11.1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-1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用人单位职业病危害现状评价分项结论</w:t>
      </w:r>
    </w:p>
    <w:tbl>
      <w:tblPr>
        <w:tblStyle w:val="12"/>
        <w:tblW w:w="4994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30"/>
        <w:gridCol w:w="1681"/>
        <w:gridCol w:w="394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46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51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987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判断</w:t>
            </w:r>
          </w:p>
        </w:tc>
        <w:tc>
          <w:tcPr>
            <w:tcW w:w="2314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存在问题简要说明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46" w:type="pc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1" w:type="pc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总体布局</w:t>
            </w:r>
          </w:p>
        </w:tc>
        <w:tc>
          <w:tcPr>
            <w:tcW w:w="987" w:type="pc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符合</w:t>
            </w:r>
          </w:p>
        </w:tc>
        <w:tc>
          <w:tcPr>
            <w:tcW w:w="2314" w:type="pc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受场地限制，部分生产车间置于最小风频率下风向。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设备布局</w:t>
            </w:r>
          </w:p>
        </w:tc>
        <w:tc>
          <w:tcPr>
            <w:tcW w:w="9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符合</w:t>
            </w:r>
          </w:p>
        </w:tc>
        <w:tc>
          <w:tcPr>
            <w:tcW w:w="23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建筑卫生学</w:t>
            </w:r>
          </w:p>
        </w:tc>
        <w:tc>
          <w:tcPr>
            <w:tcW w:w="9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符合</w:t>
            </w:r>
          </w:p>
        </w:tc>
        <w:tc>
          <w:tcPr>
            <w:tcW w:w="23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辅助用室</w:t>
            </w:r>
          </w:p>
        </w:tc>
        <w:tc>
          <w:tcPr>
            <w:tcW w:w="9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符合</w:t>
            </w:r>
          </w:p>
        </w:tc>
        <w:tc>
          <w:tcPr>
            <w:tcW w:w="23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职业病危害因素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检测</w:t>
            </w:r>
          </w:p>
        </w:tc>
        <w:tc>
          <w:tcPr>
            <w:tcW w:w="9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不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符合</w:t>
            </w:r>
          </w:p>
        </w:tc>
        <w:tc>
          <w:tcPr>
            <w:tcW w:w="23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往年未做职业病因素检测。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职业病防护设施</w:t>
            </w:r>
          </w:p>
        </w:tc>
        <w:tc>
          <w:tcPr>
            <w:tcW w:w="9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符合</w:t>
            </w:r>
          </w:p>
        </w:tc>
        <w:tc>
          <w:tcPr>
            <w:tcW w:w="23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-80" w:leftChars="0" w:right="-8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噪声存在超标，防噪效果不佳，应督促工人作业时全程佩戴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/>
              </w:rPr>
              <w:t>耳塞、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护耳器。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应急救援设施</w:t>
            </w:r>
          </w:p>
        </w:tc>
        <w:tc>
          <w:tcPr>
            <w:tcW w:w="9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符合</w:t>
            </w:r>
          </w:p>
        </w:tc>
        <w:tc>
          <w:tcPr>
            <w:tcW w:w="23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①未制定相关专项（硫化氢急性中毒、氨中毒、二氧化氯中毒、低温冻伤</w:t>
            </w:r>
            <w:r>
              <w:rPr>
                <w:rFonts w:hint="eastAsia"/>
                <w:sz w:val="24"/>
                <w:lang w:val="en-US" w:eastAsia="zh-CN"/>
              </w:rPr>
              <w:t>臭氧中毒</w:t>
            </w:r>
            <w:r>
              <w:rPr>
                <w:rFonts w:hint="eastAsia"/>
                <w:sz w:val="24"/>
              </w:rPr>
              <w:t>等）专项应急救援预案和应急救援处置针对性内容。②未针对相关应急救援预案配备相关应急救援设施；③未安排</w:t>
            </w:r>
            <w:r>
              <w:rPr>
                <w:rFonts w:hint="eastAsia"/>
                <w:sz w:val="24"/>
                <w:lang w:val="en-US" w:eastAsia="zh-CN"/>
              </w:rPr>
              <w:t>作业人员</w:t>
            </w:r>
            <w:r>
              <w:rPr>
                <w:rFonts w:hint="eastAsia"/>
                <w:sz w:val="24"/>
              </w:rPr>
              <w:t>参加</w:t>
            </w:r>
            <w:r>
              <w:rPr>
                <w:rFonts w:hint="eastAsia"/>
                <w:sz w:val="24"/>
                <w:lang w:val="en-US" w:eastAsia="zh-CN"/>
              </w:rPr>
              <w:t>应急</w:t>
            </w:r>
            <w:r>
              <w:rPr>
                <w:rFonts w:hint="eastAsia"/>
                <w:sz w:val="24"/>
              </w:rPr>
              <w:t>相关知识和技能培训</w:t>
            </w:r>
            <w:r>
              <w:rPr>
                <w:rFonts w:hint="eastAsia"/>
                <w:sz w:val="24"/>
                <w:lang w:val="en-US" w:eastAsia="zh-CN"/>
              </w:rPr>
              <w:t>并</w:t>
            </w:r>
            <w:r>
              <w:rPr>
                <w:rFonts w:hint="eastAsia"/>
                <w:sz w:val="24"/>
              </w:rPr>
              <w:t>进行相关的应急救援演练。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职业健康监护</w:t>
            </w:r>
          </w:p>
        </w:tc>
        <w:tc>
          <w:tcPr>
            <w:tcW w:w="9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不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符合</w:t>
            </w:r>
          </w:p>
        </w:tc>
        <w:tc>
          <w:tcPr>
            <w:tcW w:w="23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往年未进行职业病健康体检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个人防护用品</w:t>
            </w:r>
          </w:p>
        </w:tc>
        <w:tc>
          <w:tcPr>
            <w:tcW w:w="9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部分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符合</w:t>
            </w:r>
          </w:p>
        </w:tc>
        <w:tc>
          <w:tcPr>
            <w:tcW w:w="23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未配备防尘、防毒口罩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职业卫生管理组织机构</w:t>
            </w:r>
          </w:p>
        </w:tc>
        <w:tc>
          <w:tcPr>
            <w:tcW w:w="9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符合</w:t>
            </w:r>
          </w:p>
        </w:tc>
        <w:tc>
          <w:tcPr>
            <w:tcW w:w="23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职业卫生管理制度</w:t>
            </w:r>
          </w:p>
        </w:tc>
        <w:tc>
          <w:tcPr>
            <w:tcW w:w="9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符合</w:t>
            </w:r>
          </w:p>
        </w:tc>
        <w:tc>
          <w:tcPr>
            <w:tcW w:w="23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w w:val="100"/>
                <w:sz w:val="24"/>
                <w:highlight w:val="none"/>
                <w:lang w:eastAsia="zh-CN"/>
              </w:rPr>
              <w:t>缺少应急救援演练记录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24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职业病危害警示与告知制度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、职业健康管理记录存在不够完善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职业病危害告知</w:t>
            </w:r>
          </w:p>
        </w:tc>
        <w:tc>
          <w:tcPr>
            <w:tcW w:w="9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符合</w:t>
            </w:r>
          </w:p>
        </w:tc>
        <w:tc>
          <w:tcPr>
            <w:tcW w:w="23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 w:val="0"/>
                <w:w w:val="1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职业卫生培训</w:t>
            </w:r>
          </w:p>
        </w:tc>
        <w:tc>
          <w:tcPr>
            <w:tcW w:w="9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符合</w:t>
            </w:r>
          </w:p>
        </w:tc>
        <w:tc>
          <w:tcPr>
            <w:tcW w:w="23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>只有培训视频和签到，未有考试试卷和总结，职业卫生管理人员和负责人证未及时更新。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职业病危害项目申报</w:t>
            </w:r>
          </w:p>
        </w:tc>
        <w:tc>
          <w:tcPr>
            <w:tcW w:w="9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>本次评价后进行申报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46" w:type="pct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51" w:type="pct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既往职业卫生评价建议落实情况</w:t>
            </w:r>
          </w:p>
        </w:tc>
        <w:tc>
          <w:tcPr>
            <w:tcW w:w="987" w:type="pct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2314" w:type="pct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>用人单位一次进行职业病危害因素检测。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17"/>
        <w:tabs>
          <w:tab w:val="center" w:pos="4201"/>
          <w:tab w:val="right" w:leader="dot" w:pos="9298"/>
        </w:tabs>
        <w:spacing w:line="490" w:lineRule="exact"/>
        <w:ind w:firstLine="56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卫生行政部门新发布的《国家卫生健康委办公厅关于公布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用人单位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职业病危害风险分类管理目录的通知》（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GB"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国卫办职健发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GB" w:eastAsia="zh-CN"/>
        </w:rPr>
        <w:t>[20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21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GB" w:eastAsia="zh-CN"/>
        </w:rPr>
        <w:t>]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GB" w:eastAsia="zh-CN"/>
        </w:rPr>
        <w:t>号）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），用人单位所属行业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为</w:t>
      </w:r>
      <w:r>
        <w:rPr>
          <w:rFonts w:hint="eastAsia" w:ascii="Times New Roman" w:eastAsia="仿宋_GB2312" w:cs="Times New Roman"/>
          <w:sz w:val="28"/>
          <w:szCs w:val="28"/>
          <w:highlight w:val="none"/>
          <w:lang w:val="en-US" w:eastAsia="zh-CN"/>
        </w:rPr>
        <w:t>饮料制造酒、饮料和精制茶制造业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（行业代码C</w:t>
      </w:r>
      <w:r>
        <w:rPr>
          <w:rFonts w:hint="eastAsia" w:ascii="Times New Roman" w:eastAsia="仿宋_GB2312" w:cs="Times New Roman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）中的</w:t>
      </w:r>
      <w:r>
        <w:rPr>
          <w:rFonts w:hint="eastAsia" w:ascii="Times New Roman" w:eastAsia="仿宋_GB2312" w:cs="Times New Roman"/>
          <w:sz w:val="28"/>
          <w:szCs w:val="28"/>
          <w:highlight w:val="none"/>
          <w:lang w:val="en-US" w:eastAsia="zh-CN"/>
        </w:rPr>
        <w:t>饮料制造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（C</w:t>
      </w:r>
      <w:r>
        <w:rPr>
          <w:rFonts w:hint="eastAsia" w:ascii="Times New Roman" w:eastAsia="仿宋_GB2312" w:cs="Times New Roman"/>
          <w:sz w:val="28"/>
          <w:szCs w:val="28"/>
          <w:highlight w:val="none"/>
          <w:lang w:val="en-US" w:eastAsia="zh-CN"/>
        </w:rPr>
        <w:t>152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，职业病危害风险类别定性为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eastAsia="zh-CN"/>
        </w:rPr>
        <w:t>职业病危害</w:t>
      </w:r>
      <w:r>
        <w:rPr>
          <w:rFonts w:hint="eastAsia" w:asci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一般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的类别。</w:t>
      </w:r>
    </w:p>
    <w:p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技术审查专家组评审意见：</w:t>
      </w:r>
    </w:p>
    <w:p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评价单位根据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内审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意见修改《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现状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评价报告》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ZTQ1MDE1M2ZmZjM0ZTVjNWFhYTlkYWNlMzJhNjIifQ=="/>
  </w:docVars>
  <w:rsids>
    <w:rsidRoot w:val="3B962269"/>
    <w:rsid w:val="02AF463D"/>
    <w:rsid w:val="08694B96"/>
    <w:rsid w:val="0CF956B1"/>
    <w:rsid w:val="0FFF37B1"/>
    <w:rsid w:val="13981443"/>
    <w:rsid w:val="1605554B"/>
    <w:rsid w:val="16965F54"/>
    <w:rsid w:val="186E34C1"/>
    <w:rsid w:val="1AEC6C52"/>
    <w:rsid w:val="22161683"/>
    <w:rsid w:val="2BEB4803"/>
    <w:rsid w:val="34FF13DA"/>
    <w:rsid w:val="3A560CB1"/>
    <w:rsid w:val="3B962269"/>
    <w:rsid w:val="3CD90FA3"/>
    <w:rsid w:val="3DC92146"/>
    <w:rsid w:val="418A2E7A"/>
    <w:rsid w:val="424F26ED"/>
    <w:rsid w:val="5EA31CF1"/>
    <w:rsid w:val="600F2178"/>
    <w:rsid w:val="6EEA6B63"/>
    <w:rsid w:val="70691D97"/>
    <w:rsid w:val="73AB494D"/>
    <w:rsid w:val="756B4DE9"/>
    <w:rsid w:val="77000D3D"/>
    <w:rsid w:val="7F2D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link w:val="1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/>
      <w:color w:val="000000"/>
      <w:sz w:val="24"/>
      <w:szCs w:val="22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4">
    <w:name w:val="样式1"/>
    <w:basedOn w:val="5"/>
    <w:next w:val="7"/>
    <w:qFormat/>
    <w:uiPriority w:val="0"/>
  </w:style>
  <w:style w:type="paragraph" w:styleId="5">
    <w:name w:val="index heading"/>
    <w:basedOn w:val="1"/>
    <w:next w:val="6"/>
    <w:semiHidden/>
    <w:qFormat/>
    <w:uiPriority w:val="0"/>
    <w:rPr>
      <w:rFonts w:ascii="Arial" w:hAnsi="Arial" w:cs="Arial"/>
      <w:b/>
      <w:bCs/>
    </w:rPr>
  </w:style>
  <w:style w:type="paragraph" w:styleId="6">
    <w:name w:val="index 1"/>
    <w:basedOn w:val="1"/>
    <w:next w:val="1"/>
    <w:unhideWhenUsed/>
    <w:uiPriority w:val="99"/>
    <w:pPr>
      <w:spacing w:line="400" w:lineRule="exact"/>
      <w:ind w:left="-2" w:leftChars="-1" w:firstLine="1"/>
      <w:jc w:val="center"/>
    </w:pPr>
    <w:rPr>
      <w:rFonts w:ascii="仿宋_GB2312" w:hAnsi="仿宋_GB2312" w:eastAsia="仿宋_GB2312"/>
      <w:sz w:val="24"/>
    </w:rPr>
  </w:style>
  <w:style w:type="paragraph" w:styleId="7">
    <w:name w:val="Block Text"/>
    <w:basedOn w:val="1"/>
    <w:qFormat/>
    <w:uiPriority w:val="0"/>
    <w:pPr>
      <w:adjustRightInd w:val="0"/>
      <w:snapToGrid w:val="0"/>
      <w:spacing w:line="500" w:lineRule="exact"/>
      <w:ind w:left="147" w:leftChars="70" w:right="160" w:rightChars="76" w:firstLine="480" w:firstLineChars="200"/>
    </w:pPr>
    <w:rPr>
      <w:rFonts w:ascii="宋体" w:hAnsi="宋体"/>
      <w:sz w:val="24"/>
    </w:rPr>
  </w:style>
  <w:style w:type="paragraph" w:styleId="9">
    <w:name w:val="Normal Indent"/>
    <w:basedOn w:val="1"/>
    <w:next w:val="1"/>
    <w:qFormat/>
    <w:uiPriority w:val="0"/>
    <w:pPr>
      <w:ind w:firstLine="420" w:firstLineChars="200"/>
    </w:pPr>
  </w:style>
  <w:style w:type="paragraph" w:styleId="10">
    <w:name w:val="Body Text Indent"/>
    <w:basedOn w:val="1"/>
    <w:link w:val="1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540" w:leftChars="257" w:right="0" w:firstLine="538" w:firstLineChars="192"/>
      <w:jc w:val="both"/>
    </w:pPr>
    <w:rPr>
      <w:rFonts w:hint="default" w:ascii="Times New Roman" w:hAnsi="Times New Roman" w:eastAsia="宋体" w:cs="Times New Roman"/>
      <w:kern w:val="2"/>
      <w:sz w:val="28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正文文本缩进 Char"/>
    <w:basedOn w:val="13"/>
    <w:link w:val="10"/>
    <w:qFormat/>
    <w:uiPriority w:val="0"/>
    <w:rPr>
      <w:kern w:val="2"/>
      <w:sz w:val="28"/>
      <w:szCs w:val="24"/>
    </w:rPr>
  </w:style>
  <w:style w:type="character" w:customStyle="1" w:styleId="15">
    <w:name w:val="标题 2 Char"/>
    <w:basedOn w:val="13"/>
    <w:link w:val="8"/>
    <w:qFormat/>
    <w:uiPriority w:val="0"/>
    <w:rPr>
      <w:rFonts w:ascii="Arial" w:hAnsi="Arial" w:eastAsia="黑体" w:cs="Arial"/>
      <w:b/>
      <w:kern w:val="2"/>
      <w:sz w:val="32"/>
      <w:szCs w:val="32"/>
    </w:rPr>
  </w:style>
  <w:style w:type="paragraph" w:customStyle="1" w:styleId="16">
    <w:name w:val="样式35"/>
    <w:basedOn w:val="1"/>
    <w:qFormat/>
    <w:uiPriority w:val="0"/>
    <w:pPr>
      <w:adjustRightInd w:val="0"/>
      <w:spacing w:line="312" w:lineRule="auto"/>
      <w:ind w:firstLine="567"/>
    </w:pPr>
    <w:rPr>
      <w:rFonts w:ascii="宋体"/>
      <w:kern w:val="0"/>
      <w:sz w:val="28"/>
      <w:szCs w:val="20"/>
    </w:rPr>
  </w:style>
  <w:style w:type="paragraph" w:customStyle="1" w:styleId="17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1510</Words>
  <Characters>1597</Characters>
  <Lines>0</Lines>
  <Paragraphs>0</Paragraphs>
  <TotalTime>0</TotalTime>
  <ScaleCrop>false</ScaleCrop>
  <LinksUpToDate>false</LinksUpToDate>
  <CharactersWithSpaces>1598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2017-07-31T06:56:00Z</dcterms:created>
  <dc:creator>Administrator</dc:creator>
  <cp:lastModifiedBy>嘿，吃货</cp:lastModifiedBy>
  <dcterms:modified xsi:type="dcterms:W3CDTF">2023-02-13T01:50:23Z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C6D65CFDE6ED413AB1C8FA86894BDAA7</vt:lpwstr>
  </property>
</Properties>
</file>