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通威（海南）水产食品有限公司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职业病危害现状评价网上公开信息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根据《职业卫生技术服务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机构工作规范》的要求，现将《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>通威（海南）水产食品有限公司职业病危害现状评价报告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》相关信息公示如下：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1.评价单位：海南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兆博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检测科技有限公司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2.建设单位：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通威（海南）水产食品有限公司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3.项目地理位置：澄迈县工业大道与永凯路交叉路口往西北约70米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4.项目联系人：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李日妹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9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5.项目简介：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通威（海南）水产食品有限公司于2006年在海南省澄迈县工商局注册成立，注册资本3300万元，注册地址位于海南省澄迈县老城开发区美朗小区，工作场所地址位于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C4C4C"/>
          <w:spacing w:val="0"/>
          <w:sz w:val="28"/>
          <w:szCs w:val="28"/>
          <w:shd w:val="clear" w:color="auto" w:fill="auto"/>
        </w:rPr>
        <w:t>澄迈县工业大道与永凯路交叉路口往西北约70米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，总占地面积为67239m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，建筑面积为32000m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，生产规模：年加工罗非鱼，产量为1.2万吨。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6.现场调查人员：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黄永栓、钟国天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7.现场调查时间：202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.1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.11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8.建设单位陪同人：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李日妹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9.建设项目存在的主要职业病危害因素及检测结果：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Times New Roman" w:eastAsia="仿宋_GB2312" w:cs="Times New Roman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建设项目</w:t>
      </w:r>
      <w:r>
        <w:rPr>
          <w:rFonts w:hint="eastAsia" w:ascii="Times New Roman" w:eastAsia="仿宋_GB2312" w:cs="Times New Roman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存在的职业病危害因素有硫化氢、氨、一氧化碳、噪声、工频电场。经过现场检测结果可知，各岗位接触的化学毒物浓度/强度均符合职业接触限值。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10.评价结论与建议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9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highlight w:val="none"/>
          <w:shd w:val="clear" w:color="000000" w:fill="FCFCFC"/>
        </w:rPr>
      </w:pPr>
      <w:r>
        <w:rPr>
          <w:rFonts w:hint="eastAsia" w:ascii="Times New Roman" w:hAnsi="Times New Roman" w:eastAsia="仿宋_GB2312"/>
          <w:sz w:val="28"/>
        </w:rPr>
        <w:t>根据</w:t>
      </w:r>
      <w:r>
        <w:rPr>
          <w:rFonts w:ascii="Times New Roman" w:hAnsi="Times New Roman" w:eastAsia="仿宋_GB2312"/>
          <w:sz w:val="28"/>
        </w:rPr>
        <w:t>《工作场所职业卫生管理规定》（中华人民共和国国家卫生健康委员会令[2021]第5号）</w:t>
      </w:r>
      <w:r>
        <w:rPr>
          <w:rFonts w:hint="eastAsia" w:ascii="Times New Roman" w:hAnsi="Times New Roman" w:eastAsia="仿宋_GB2312"/>
          <w:sz w:val="28"/>
        </w:rPr>
        <w:t>最新要求，</w:t>
      </w:r>
      <w:r>
        <w:rPr>
          <w:rFonts w:hint="eastAsia" w:ascii="Times New Roman" w:hAnsi="Times New Roman" w:eastAsia="仿宋_GB2312"/>
          <w:sz w:val="28"/>
          <w:lang w:val="en-US" w:eastAsia="zh-CN"/>
        </w:rPr>
        <w:t>用人单位属</w:t>
      </w:r>
      <w:r>
        <w:rPr>
          <w:rFonts w:hint="eastAsia" w:ascii="Times New Roman" w:hAnsi="Times New Roman" w:eastAsia="仿宋_GB2312"/>
          <w:bCs/>
          <w:caps w:val="0"/>
          <w:color w:val="000000"/>
          <w:spacing w:val="-2"/>
          <w:sz w:val="28"/>
          <w:szCs w:val="28"/>
          <w:highlight w:val="none"/>
          <w:lang w:val="en-US" w:eastAsia="zh-CN"/>
        </w:rPr>
        <w:t>于“水产品加工”，</w:t>
      </w:r>
      <w:r>
        <w:rPr>
          <w:rFonts w:hint="eastAsia" w:ascii="Times New Roman" w:hAnsi="Times New Roman" w:eastAsia="仿宋_GB2312"/>
          <w:caps w:val="0"/>
          <w:color w:val="000000"/>
          <w:spacing w:val="8"/>
          <w:sz w:val="28"/>
          <w:szCs w:val="28"/>
          <w:highlight w:val="none"/>
          <w:lang w:val="en-US" w:eastAsia="zh-CN"/>
        </w:rPr>
        <w:t>属于</w:t>
      </w:r>
      <w:r>
        <w:rPr>
          <w:rFonts w:ascii="Times New Roman" w:hAnsi="Times New Roman" w:eastAsia="仿宋_GB2312"/>
          <w:b w:val="0"/>
          <w:bCs w:val="0"/>
          <w:caps w:val="0"/>
          <w:color w:val="000000"/>
          <w:spacing w:val="8"/>
          <w:sz w:val="28"/>
          <w:szCs w:val="28"/>
          <w:highlight w:val="none"/>
        </w:rPr>
        <w:t>“职业病危害</w:t>
      </w:r>
      <w:r>
        <w:rPr>
          <w:rFonts w:hint="eastAsia" w:ascii="Times New Roman" w:hAnsi="Times New Roman" w:eastAsia="仿宋_GB2312"/>
          <w:b w:val="0"/>
          <w:bCs w:val="0"/>
          <w:caps w:val="0"/>
          <w:color w:val="000000"/>
          <w:spacing w:val="8"/>
          <w:sz w:val="28"/>
          <w:szCs w:val="28"/>
          <w:highlight w:val="none"/>
          <w:lang w:val="en-US" w:eastAsia="zh-CN"/>
        </w:rPr>
        <w:t>一般</w:t>
      </w:r>
      <w:r>
        <w:rPr>
          <w:rFonts w:ascii="Times New Roman" w:hAnsi="Times New Roman" w:eastAsia="仿宋_GB2312"/>
          <w:b w:val="0"/>
          <w:bCs w:val="0"/>
          <w:caps w:val="0"/>
          <w:color w:val="000000"/>
          <w:spacing w:val="8"/>
          <w:sz w:val="28"/>
          <w:szCs w:val="28"/>
          <w:highlight w:val="none"/>
        </w:rPr>
        <w:t>”</w:t>
      </w:r>
      <w:r>
        <w:rPr>
          <w:rFonts w:hint="eastAsia" w:ascii="Times New Roman" w:hAnsi="Times New Roman" w:eastAsia="仿宋_GB2312"/>
          <w:sz w:val="28"/>
        </w:rPr>
        <w:t>风险分类</w:t>
      </w:r>
      <w:r>
        <w:rPr>
          <w:rFonts w:hint="eastAsia" w:ascii="Times New Roman" w:hAnsi="Times New Roman" w:eastAsia="仿宋_GB2312"/>
          <w:sz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lang w:val="en-US" w:eastAsia="zh-CN"/>
        </w:rPr>
        <w:t>综合分析用人单位属于</w:t>
      </w:r>
      <w:r>
        <w:rPr>
          <w:rFonts w:ascii="Times New Roman" w:hAnsi="Times New Roman" w:eastAsia="仿宋_GB2312"/>
          <w:b/>
          <w:bCs/>
          <w:caps w:val="0"/>
          <w:color w:val="000000"/>
          <w:spacing w:val="8"/>
          <w:sz w:val="28"/>
          <w:szCs w:val="28"/>
          <w:highlight w:val="none"/>
        </w:rPr>
        <w:t>“职业病危害</w:t>
      </w:r>
      <w:r>
        <w:rPr>
          <w:rFonts w:hint="eastAsia" w:ascii="Times New Roman" w:hAnsi="Times New Roman" w:eastAsia="仿宋_GB2312"/>
          <w:b/>
          <w:bCs/>
          <w:caps w:val="0"/>
          <w:color w:val="000000"/>
          <w:spacing w:val="8"/>
          <w:sz w:val="28"/>
          <w:szCs w:val="28"/>
          <w:highlight w:val="none"/>
          <w:lang w:val="en-US" w:eastAsia="zh-CN"/>
        </w:rPr>
        <w:t>一般</w:t>
      </w:r>
      <w:r>
        <w:rPr>
          <w:rFonts w:ascii="Times New Roman" w:hAnsi="Times New Roman" w:eastAsia="仿宋_GB2312"/>
          <w:b/>
          <w:bCs/>
          <w:caps w:val="0"/>
          <w:color w:val="000000"/>
          <w:spacing w:val="8"/>
          <w:sz w:val="28"/>
          <w:szCs w:val="28"/>
          <w:highlight w:val="none"/>
        </w:rPr>
        <w:t>”</w:t>
      </w:r>
      <w:r>
        <w:rPr>
          <w:rFonts w:hint="eastAsia" w:ascii="Times New Roman" w:hAnsi="Times New Roman" w:eastAsia="仿宋_GB2312"/>
          <w:b w:val="0"/>
          <w:bCs w:val="0"/>
          <w:caps w:val="0"/>
          <w:color w:val="000000"/>
          <w:spacing w:val="8"/>
          <w:sz w:val="28"/>
          <w:szCs w:val="28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仿宋_GB2312"/>
          <w:caps w:val="0"/>
          <w:color w:val="000000"/>
          <w:kern w:val="2"/>
          <w:sz w:val="28"/>
          <w:szCs w:val="28"/>
          <w:highlight w:val="none"/>
          <w:lang w:bidi="ar"/>
        </w:rPr>
        <w:t>。</w:t>
      </w:r>
    </w:p>
    <w:p>
      <w:pPr>
        <w:spacing w:line="490" w:lineRule="exact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  <w:bookmarkStart w:id="0" w:name="_Toc25206"/>
      <w:bookmarkStart w:id="1" w:name="_Toc22287"/>
      <w:bookmarkStart w:id="2" w:name="_Toc8615"/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建议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left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highlight w:val="none"/>
          <w:shd w:val="clear" w:color="auto" w:fill="auto"/>
        </w:rPr>
        <w:t>针对分项结论中存在的问题，从组织管理、个人防护、应急救援等方面，</w:t>
      </w:r>
      <w:r>
        <w:rPr>
          <w:rFonts w:hint="default" w:ascii="Times New Roman" w:hAnsi="Times New Roman" w:eastAsia="仿宋_GB2312" w:cs="Times New Roman"/>
          <w:sz w:val="28"/>
          <w:highlight w:val="none"/>
          <w:shd w:val="clear" w:color="auto" w:fill="auto"/>
        </w:rPr>
        <w:t>有针对性地提出</w:t>
      </w:r>
      <w:r>
        <w:rPr>
          <w:rFonts w:hint="eastAsia" w:ascii="Times New Roman" w:hAnsi="Times New Roman" w:eastAsia="仿宋_GB2312" w:cs="Times New Roman"/>
          <w:color w:val="000000"/>
          <w:sz w:val="28"/>
          <w:highlight w:val="none"/>
          <w:shd w:val="clear" w:color="auto" w:fill="auto"/>
          <w:lang w:eastAsia="zh-CN"/>
        </w:rPr>
        <w:t>通威（海南）水产食品有限公司</w:t>
      </w:r>
      <w:r>
        <w:rPr>
          <w:rFonts w:hint="default" w:ascii="Times New Roman" w:hAnsi="Times New Roman" w:eastAsia="仿宋_GB2312" w:cs="Times New Roman"/>
          <w:sz w:val="28"/>
          <w:highlight w:val="none"/>
          <w:shd w:val="clear" w:color="auto" w:fill="auto"/>
        </w:rPr>
        <w:t>职业病防治日常管理工作的整改性、持续改进性和预防性等建议措施。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snapToGrid w:val="0"/>
        <w:spacing w:line="490" w:lineRule="exact"/>
        <w:ind w:left="0" w:firstLine="0"/>
        <w:textAlignment w:val="auto"/>
        <w:outlineLvl w:val="1"/>
        <w:rPr>
          <w:rFonts w:hint="default" w:ascii="Times New Roman" w:hAnsi="Times New Roman" w:eastAsia="仿宋_GB2312" w:cs="Times New Roman"/>
          <w:b/>
          <w:color w:val="auto"/>
          <w:sz w:val="28"/>
          <w:highlight w:val="none"/>
          <w:shd w:val="clear" w:color="auto" w:fill="auto"/>
        </w:rPr>
      </w:pPr>
      <w:bookmarkStart w:id="3" w:name="_Toc8328_WPSOffice_Level1"/>
      <w:bookmarkStart w:id="4" w:name="_Toc31170"/>
      <w:bookmarkStart w:id="5" w:name="_Toc107_WPSOffice_Level1"/>
      <w:bookmarkStart w:id="6" w:name="_Toc23110"/>
      <w:bookmarkStart w:id="7" w:name="_Toc4471"/>
      <w:r>
        <w:rPr>
          <w:rFonts w:hint="default" w:ascii="Times New Roman" w:hAnsi="Times New Roman" w:eastAsia="仿宋_GB2312" w:cs="Times New Roman"/>
          <w:b/>
          <w:color w:val="auto"/>
          <w:sz w:val="28"/>
          <w:highlight w:val="none"/>
          <w:shd w:val="clear" w:color="auto" w:fill="auto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highlight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highlight w:val="none"/>
          <w:shd w:val="clear" w:color="auto" w:fill="auto"/>
        </w:rPr>
        <w:t>.1整改性建议</w:t>
      </w:r>
      <w:bookmarkEnd w:id="3"/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  <w:lang w:val="en-US" w:eastAsia="zh-CN"/>
        </w:rPr>
        <w:t>生产车间</w:t>
      </w:r>
      <w:r>
        <w:rPr>
          <w:rFonts w:hint="eastAsia" w:ascii="Times New Roman" w:hAnsi="Times New Roman" w:eastAsia="仿宋_GB2312"/>
          <w:sz w:val="28"/>
          <w:szCs w:val="28"/>
        </w:rPr>
        <w:t>工作场所增加相应的</w:t>
      </w:r>
      <w:r>
        <w:rPr>
          <w:rFonts w:ascii="Times New Roman" w:hAnsi="Times New Roman" w:eastAsia="仿宋_GB2312"/>
          <w:color w:val="000000"/>
          <w:sz w:val="28"/>
          <w:szCs w:val="28"/>
        </w:rPr>
        <w:t>职业病危害警示标识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，见表1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.1-</w:t>
      </w:r>
      <w:r>
        <w:rPr>
          <w:rFonts w:hint="eastAsia" w:ascii="Times New Roman" w:hAnsi="Times New Roman" w:eastAsia="仿宋_GB2312"/>
          <w:sz w:val="28"/>
        </w:rPr>
        <w:t>1职业病危害警示标识补充表。</w:t>
      </w:r>
      <w:r>
        <w:rPr>
          <w:rFonts w:hint="eastAsia" w:ascii="Times New Roman" w:hAnsi="Times New Roman" w:eastAsia="仿宋_GB2312"/>
          <w:sz w:val="28"/>
          <w:lang w:val="en-US" w:eastAsia="zh-CN"/>
        </w:rPr>
        <w:t>污水处理站增加氨、硫化氢等危害告知卡及检测结果告知卡见图10.1-1。</w:t>
      </w:r>
    </w:p>
    <w:p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kern w:val="2"/>
          <w:szCs w:val="28"/>
          <w:highlight w:val="none"/>
          <w:lang w:val="en-US" w:eastAsia="zh-CN"/>
        </w:rPr>
      </w:pPr>
      <w:bookmarkStart w:id="8" w:name="_Toc20991_WPSOffice_Level2"/>
      <w:r>
        <w:rPr>
          <w:rFonts w:hint="eastAsia" w:ascii="Times New Roman" w:hAnsi="Times New Roman" w:eastAsia="仿宋_GB2312" w:cs="Times New Roman"/>
          <w:b/>
          <w:bCs/>
          <w:kern w:val="2"/>
          <w:szCs w:val="28"/>
          <w:highlight w:val="none"/>
          <w:lang w:val="en-US" w:eastAsia="zh-CN"/>
        </w:rPr>
        <w:t>表10.1-1 职业病危害警示标识与告知补充表</w:t>
      </w:r>
      <w:bookmarkEnd w:id="8"/>
    </w:p>
    <w:tbl>
      <w:tblPr>
        <w:tblStyle w:val="11"/>
        <w:tblW w:w="5119" w:type="pct"/>
        <w:tblInd w:w="-213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351"/>
        <w:gridCol w:w="895"/>
        <w:gridCol w:w="1538"/>
        <w:gridCol w:w="3157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</w:trPr>
        <w:tc>
          <w:tcPr>
            <w:tcW w:w="449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highlight w:val="none"/>
                <w:shd w:val="clear" w:color="000000" w:fill="FCFCFC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shd w:val="clear" w:color="000000" w:fill="FCFCFC"/>
              </w:rPr>
              <w:t>序号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highlight w:val="none"/>
                <w:shd w:val="clear" w:color="000000" w:fill="FCFCFC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highlight w:val="none"/>
                <w:shd w:val="clear" w:color="000000" w:fill="FCFCFC"/>
                <w:lang w:val="en-US" w:eastAsia="zh-CN"/>
              </w:rPr>
              <w:t>警示标识/告知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shd w:val="clear" w:color="000000" w:fill="FCFCFC"/>
              </w:rPr>
              <w:t>内容</w:t>
            </w:r>
          </w:p>
        </w:tc>
        <w:tc>
          <w:tcPr>
            <w:tcW w:w="513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b/>
                <w:color w:val="000000"/>
                <w:sz w:val="24"/>
                <w:highlight w:val="none"/>
                <w:shd w:val="clear" w:color="000000" w:fill="FCFCFC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shd w:val="clear" w:color="000000" w:fill="FCFCFC"/>
              </w:rPr>
              <w:t>数量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highlight w:val="none"/>
                <w:shd w:val="clear" w:color="000000" w:fill="FCFCFC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shd w:val="clear" w:color="000000" w:fill="FCFCFC"/>
              </w:rPr>
              <w:t>安装地点</w:t>
            </w:r>
          </w:p>
        </w:tc>
        <w:tc>
          <w:tcPr>
            <w:tcW w:w="1808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b/>
                <w:color w:val="000000"/>
                <w:sz w:val="24"/>
                <w:highlight w:val="none"/>
                <w:shd w:val="clear" w:color="000000" w:fill="FCFCFC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图例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49" w:type="pct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shd w:val="clear" w:color="000000" w:fill="FCFCFC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shd w:val="clear" w:color="000000" w:fill="FCFCFC"/>
                <w:lang w:val="en-US" w:eastAsia="zh-CN"/>
              </w:rPr>
              <w:t>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shd w:val="clear" w:color="000000" w:fill="FCFCFC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注意通风</w:t>
            </w:r>
          </w:p>
        </w:tc>
        <w:tc>
          <w:tcPr>
            <w:tcW w:w="513" w:type="pct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1组</w:t>
            </w:r>
          </w:p>
        </w:tc>
        <w:tc>
          <w:tcPr>
            <w:tcW w:w="881" w:type="pct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污水处理站</w:t>
            </w:r>
          </w:p>
        </w:tc>
        <w:tc>
          <w:tcPr>
            <w:tcW w:w="1808" w:type="pct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drawing>
                <wp:inline distT="0" distB="0" distL="114300" distR="114300">
                  <wp:extent cx="779145" cy="1002665"/>
                  <wp:effectExtent l="0" t="0" r="1905" b="6985"/>
                  <wp:docPr id="1" name="图片 1" descr="00000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0006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drawing>
                <wp:inline distT="0" distB="0" distL="114300" distR="114300">
                  <wp:extent cx="741680" cy="969010"/>
                  <wp:effectExtent l="0" t="0" r="1270" b="2540"/>
                  <wp:docPr id="2" name="图片 2" descr="00000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00006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drawing>
                <wp:inline distT="0" distB="0" distL="114300" distR="114300">
                  <wp:extent cx="756285" cy="955675"/>
                  <wp:effectExtent l="0" t="0" r="5715" b="15875"/>
                  <wp:docPr id="4" name="图片 3" descr="00000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000006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49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  <w:shd w:val="clear" w:color="000000" w:fill="FCFCFC"/>
                <w:lang w:val="en-US" w:eastAsia="zh-CN"/>
              </w:rPr>
            </w:pPr>
          </w:p>
        </w:tc>
        <w:tc>
          <w:tcPr>
            <w:tcW w:w="134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当心有毒气体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49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  <w:shd w:val="clear" w:color="000000" w:fill="FCFCFC"/>
                <w:lang w:val="en-US" w:eastAsia="zh-CN"/>
              </w:rPr>
            </w:pPr>
          </w:p>
        </w:tc>
        <w:tc>
          <w:tcPr>
            <w:tcW w:w="134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必须佩戴防毒面具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49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  <w:shd w:val="clear" w:color="000000" w:fill="FCFCFC"/>
                <w:lang w:val="en-US" w:eastAsia="zh-CN"/>
              </w:rPr>
            </w:pPr>
          </w:p>
        </w:tc>
        <w:tc>
          <w:tcPr>
            <w:tcW w:w="134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氨告知卡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pct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见图10.1-1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49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  <w:shd w:val="clear" w:color="000000" w:fill="FCFCFC"/>
                <w:lang w:val="en-US" w:eastAsia="zh-CN"/>
              </w:rPr>
            </w:pPr>
          </w:p>
        </w:tc>
        <w:tc>
          <w:tcPr>
            <w:tcW w:w="134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硫化氢告知卡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49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shd w:val="clear" w:color="000000" w:fill="FCFCFC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shd w:val="clear" w:color="000000" w:fill="FCFCFC"/>
                <w:lang w:val="en-US" w:eastAsia="zh-CN"/>
              </w:rPr>
              <w:t>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shd w:val="clear" w:color="000000" w:fill="FCFCFC"/>
                <w:lang w:val="en-US" w:eastAsia="zh-CN"/>
              </w:rPr>
              <w:t>检测结果告知卡</w:t>
            </w:r>
          </w:p>
        </w:tc>
        <w:tc>
          <w:tcPr>
            <w:tcW w:w="513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各1组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污水</w:t>
            </w:r>
            <w:bookmarkStart w:id="11" w:name="_GoBack"/>
            <w:bookmarkEnd w:id="11"/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处理站、制冷机房、储氨罐、CO间</w:t>
            </w:r>
          </w:p>
        </w:tc>
        <w:tc>
          <w:tcPr>
            <w:tcW w:w="1808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见图10.1-2</w:t>
            </w:r>
          </w:p>
        </w:tc>
      </w:tr>
    </w:tbl>
    <w:p>
      <w:pPr>
        <w:jc w:val="center"/>
        <w:rPr>
          <w:rFonts w:hint="eastAsia"/>
        </w:rPr>
      </w:pPr>
      <w:r>
        <w:drawing>
          <wp:inline distT="0" distB="0" distL="114300" distR="114300">
            <wp:extent cx="1793240" cy="2172970"/>
            <wp:effectExtent l="0" t="0" r="16510" b="177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858010" cy="2207895"/>
            <wp:effectExtent l="0" t="0" r="889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default" w:ascii="Times New Roman" w:hAnsi="Times New Roman" w:eastAsia="仿宋_GB2312" w:cs="Times New Roman"/>
          <w:b/>
          <w:bCs/>
          <w:kern w:val="2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Cs w:val="28"/>
          <w:highlight w:val="none"/>
          <w:lang w:val="en-US" w:eastAsia="zh-CN"/>
        </w:rPr>
        <w:t>图10.1-1告知卡</w:t>
      </w:r>
    </w:p>
    <w:p>
      <w:pPr>
        <w:pStyle w:val="2"/>
        <w:jc w:val="center"/>
        <w:rPr>
          <w:rFonts w:hint="eastAsia"/>
        </w:rPr>
      </w:pPr>
      <w:r>
        <w:drawing>
          <wp:inline distT="0" distB="0" distL="114300" distR="114300">
            <wp:extent cx="5269230" cy="2192020"/>
            <wp:effectExtent l="0" t="0" r="7620" b="1778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color w:val="000000"/>
          <w:sz w:val="24"/>
          <w:lang w:val="en-US" w:eastAsia="zh-CN"/>
        </w:rPr>
      </w:pPr>
      <w:r>
        <w:drawing>
          <wp:inline distT="0" distB="0" distL="114300" distR="114300">
            <wp:extent cx="5269865" cy="4253865"/>
            <wp:effectExtent l="0" t="0" r="698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24"/>
          <w:szCs w:val="28"/>
          <w:highlight w:val="none"/>
          <w:lang w:val="en-US" w:eastAsia="zh-CN" w:bidi="ar-SA"/>
        </w:rPr>
        <w:t>图10.1-2检测结果告知卡</w:t>
      </w:r>
    </w:p>
    <w:p>
      <w:pPr>
        <w:keepNext/>
        <w:keepLines/>
        <w:snapToGrid w:val="0"/>
        <w:spacing w:line="490" w:lineRule="exact"/>
        <w:outlineLvl w:val="1"/>
        <w:rPr>
          <w:rFonts w:ascii="Times New Roman" w:hAnsi="Times New Roman" w:eastAsia="仿宋_GB2312"/>
          <w:b/>
          <w:sz w:val="28"/>
          <w:shd w:val="clear" w:color="000000" w:fill="FCFCFC"/>
        </w:rPr>
      </w:pPr>
      <w:bookmarkStart w:id="9" w:name="_Toc13173"/>
      <w:r>
        <w:rPr>
          <w:rFonts w:hint="eastAsia" w:ascii="Times New Roman" w:hAnsi="Times New Roman" w:eastAsia="仿宋_GB2312"/>
          <w:b/>
          <w:sz w:val="28"/>
          <w:shd w:val="clear" w:color="000000" w:fill="FCFCFC"/>
          <w:lang w:val="en-US" w:eastAsia="zh-CN"/>
        </w:rPr>
        <w:t>10.1.2</w:t>
      </w:r>
      <w:r>
        <w:rPr>
          <w:rFonts w:ascii="Times New Roman" w:hAnsi="Times New Roman" w:eastAsia="仿宋_GB2312"/>
          <w:b/>
          <w:sz w:val="28"/>
          <w:shd w:val="clear" w:color="000000" w:fill="FCFCFC"/>
        </w:rPr>
        <w:t>持续改进性建议</w:t>
      </w:r>
      <w:bookmarkEnd w:id="9"/>
    </w:p>
    <w:p>
      <w:pPr>
        <w:pStyle w:val="2"/>
        <w:spacing w:line="490" w:lineRule="exact"/>
        <w:ind w:firstLine="420" w:firstLineChars="15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按照</w:t>
      </w:r>
      <w:r>
        <w:rPr>
          <w:rFonts w:ascii="Times New Roman" w:hAnsi="Times New Roman" w:eastAsia="仿宋_GB2312"/>
          <w:color w:val="000000"/>
          <w:sz w:val="28"/>
          <w:szCs w:val="28"/>
        </w:rPr>
        <w:t>《用人单位职业健康监护监督管理办法》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的要求，作业场所噪声8h等效声级≥80dB，&lt;85dB，2年1次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，对开片、修整、真空、包装、条冻岗位2年进行一次噪声体检。</w:t>
      </w:r>
    </w:p>
    <w:p>
      <w:pPr>
        <w:keepNext/>
        <w:keepLines/>
        <w:snapToGrid w:val="0"/>
        <w:spacing w:line="490" w:lineRule="exact"/>
        <w:outlineLvl w:val="1"/>
        <w:rPr>
          <w:rFonts w:ascii="Times New Roman" w:hAnsi="Times New Roman" w:eastAsia="仿宋_GB2312"/>
          <w:b/>
          <w:sz w:val="28"/>
          <w:shd w:val="clear" w:color="000000" w:fill="FCFCFC"/>
        </w:rPr>
      </w:pPr>
      <w:bookmarkStart w:id="10" w:name="_Toc7001"/>
      <w:r>
        <w:rPr>
          <w:rFonts w:hint="eastAsia" w:ascii="Times New Roman" w:hAnsi="Times New Roman" w:eastAsia="仿宋_GB2312"/>
          <w:b/>
          <w:sz w:val="28"/>
          <w:shd w:val="clear" w:color="000000" w:fill="FCFCFC"/>
          <w:lang w:val="en-US" w:eastAsia="zh-CN"/>
        </w:rPr>
        <w:t>10.1.3</w:t>
      </w:r>
      <w:r>
        <w:rPr>
          <w:rFonts w:ascii="Times New Roman" w:hAnsi="Times New Roman" w:eastAsia="仿宋_GB2312"/>
          <w:b/>
          <w:sz w:val="28"/>
          <w:shd w:val="clear" w:color="000000" w:fill="FCFCFC"/>
        </w:rPr>
        <w:t>预防性建议</w:t>
      </w:r>
      <w:bookmarkEnd w:id="1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9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000000"/>
          <w:sz w:val="28"/>
        </w:rPr>
      </w:pPr>
      <w:r>
        <w:rPr>
          <w:rFonts w:hint="eastAsia" w:ascii="Times New Roman" w:hAnsi="Times New Roman" w:eastAsia="仿宋_GB2312"/>
          <w:color w:val="000000"/>
          <w:sz w:val="28"/>
          <w:lang w:val="en-US" w:eastAsia="zh-CN"/>
        </w:rPr>
        <w:t>污水处理站清理污泥，注意硫化氢等有毒气体逸散，规范作业，佩戴便携式有毒气体检测仪。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9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000000"/>
          <w:sz w:val="28"/>
        </w:rPr>
      </w:pPr>
      <w:r>
        <w:rPr>
          <w:rFonts w:hint="eastAsia" w:ascii="Times New Roman" w:hAnsi="Times New Roman" w:eastAsia="仿宋_GB2312"/>
          <w:color w:val="000000"/>
          <w:sz w:val="28"/>
        </w:rPr>
        <w:t>加强宣传教育，加强工人对于职业病预防的知识培训，职业卫生主要负责人、管理人员应每年参加职业卫生相关培训，加强与普及职业病防治相关知识。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90" w:lineRule="exact"/>
        <w:ind w:right="0" w:rightChars="0" w:firstLine="560" w:firstLineChars="200"/>
        <w:jc w:val="both"/>
        <w:textAlignment w:val="baseline"/>
        <w:outlineLvl w:val="9"/>
        <w:rPr>
          <w:rFonts w:hint="eastAsia" w:ascii="Times New Roman" w:hAnsi="Times New Roman" w:eastAsia="仿宋_GB2312"/>
          <w:color w:val="000000"/>
          <w:sz w:val="28"/>
        </w:rPr>
      </w:pPr>
      <w:r>
        <w:rPr>
          <w:rFonts w:hint="eastAsia" w:ascii="Times New Roman" w:hAnsi="Times New Roman" w:eastAsia="仿宋_GB2312"/>
          <w:caps w:val="0"/>
          <w:kern w:val="2"/>
          <w:sz w:val="28"/>
          <w:szCs w:val="24"/>
          <w:highlight w:val="none"/>
          <w:lang w:val="en-US" w:eastAsia="zh-CN" w:bidi="ar-SA"/>
        </w:rPr>
        <w:t>（3）</w:t>
      </w:r>
      <w:r>
        <w:rPr>
          <w:rFonts w:hint="eastAsia" w:ascii="Times New Roman" w:hAnsi="Times New Roman" w:eastAsia="仿宋_GB2312"/>
          <w:color w:val="000000"/>
          <w:sz w:val="28"/>
        </w:rPr>
        <w:t>加强对工作场所的职业病危害警示标识进行维护，</w:t>
      </w:r>
      <w:r>
        <w:rPr>
          <w:rFonts w:hint="eastAsia" w:ascii="Times New Roman" w:hAnsi="Times New Roman" w:eastAsia="仿宋_GB2312"/>
          <w:color w:val="000000"/>
          <w:sz w:val="28"/>
          <w:lang w:val="en-US" w:eastAsia="zh-CN"/>
        </w:rPr>
        <w:t>更新填写职业病危害因素检测结果告知，</w:t>
      </w:r>
      <w:r>
        <w:rPr>
          <w:rFonts w:hint="eastAsia" w:ascii="Times New Roman" w:hAnsi="Times New Roman" w:eastAsia="仿宋_GB2312"/>
          <w:color w:val="000000"/>
          <w:sz w:val="28"/>
        </w:rPr>
        <w:t>发现破损的警示标识牌应及时更换。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90" w:lineRule="exact"/>
        <w:ind w:left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</w:rPr>
        <w:t>（</w:t>
      </w:r>
      <w:r>
        <w:rPr>
          <w:rFonts w:hint="eastAsia" w:ascii="Times New Roman" w:hAnsi="Times New Roman" w:eastAsia="仿宋_GB2312"/>
          <w:color w:val="000000"/>
          <w:sz w:val="28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28"/>
        </w:rPr>
        <w:t>）根据《职业健康监护技术规范》</w:t>
      </w:r>
      <w:r>
        <w:rPr>
          <w:rFonts w:hint="eastAsia" w:ascii="Times New Roman" w:hAnsi="Times New Roman" w:eastAsia="仿宋_GB2312"/>
          <w:color w:val="000000"/>
          <w:sz w:val="28"/>
          <w:lang w:eastAsia="zh-CN"/>
        </w:rPr>
        <w:t>GBZ 188-2014</w:t>
      </w:r>
      <w:r>
        <w:rPr>
          <w:rFonts w:hint="eastAsia" w:ascii="Times New Roman" w:hAnsi="Times New Roman" w:eastAsia="仿宋_GB2312"/>
          <w:color w:val="000000"/>
          <w:sz w:val="28"/>
        </w:rPr>
        <w:t>，</w:t>
      </w:r>
      <w:r>
        <w:rPr>
          <w:rFonts w:hint="eastAsia" w:ascii="Times New Roman" w:hAnsi="Times New Roman" w:eastAsia="仿宋_GB2312"/>
          <w:color w:val="000000"/>
          <w:sz w:val="28"/>
          <w:lang w:val="en-US" w:eastAsia="zh-CN"/>
        </w:rPr>
        <w:t>按要求</w:t>
      </w:r>
      <w:r>
        <w:rPr>
          <w:rFonts w:hint="eastAsia" w:ascii="Times New Roman" w:hAnsi="Times New Roman" w:eastAsia="仿宋_GB2312"/>
          <w:color w:val="000000"/>
          <w:sz w:val="28"/>
        </w:rPr>
        <w:t>进行员工上岗前、在岗期间及离岗时职业健康体检，</w:t>
      </w:r>
      <w:r>
        <w:rPr>
          <w:rFonts w:hint="eastAsia" w:ascii="Times New Roman" w:hAnsi="Times New Roman" w:eastAsia="仿宋_GB2312"/>
          <w:color w:val="000000"/>
          <w:sz w:val="28"/>
          <w:szCs w:val="22"/>
        </w:rPr>
        <w:t>对在职业健康检查中发现与所从事的岗位有健康损害的劳动者，应调离原来的工作岗位，并妥善处置，并做好跟踪观察</w:t>
      </w:r>
      <w:r>
        <w:rPr>
          <w:rFonts w:ascii="Times New Roman" w:hAnsi="Times New Roman" w:eastAsia="仿宋_GB2312"/>
          <w:bCs/>
          <w:caps w:val="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仿宋_GB2312"/>
          <w:bCs/>
          <w:caps w:val="0"/>
          <w:sz w:val="28"/>
          <w:szCs w:val="28"/>
          <w:highlight w:val="none"/>
          <w:lang w:val="en-US" w:eastAsia="zh-CN"/>
        </w:rPr>
        <w:t>接触职业病危害因素的体检项目参考</w:t>
      </w:r>
      <w:r>
        <w:rPr>
          <w:rFonts w:hint="eastAsia" w:ascii="Times New Roman" w:hAnsi="Times New Roman" w:eastAsia="仿宋_GB2312" w:cs="Times New Roman"/>
          <w:color w:val="000000"/>
          <w:sz w:val="28"/>
        </w:rPr>
        <w:t>附表</w:t>
      </w:r>
      <w:r>
        <w:rPr>
          <w:rFonts w:hint="eastAsia" w:ascii="Times New Roman" w:hAnsi="Times New Roman" w:eastAsia="仿宋_GB2312" w:cs="Times New Roman"/>
          <w:color w:val="000000"/>
          <w:sz w:val="28"/>
          <w:lang w:val="en-US" w:eastAsia="zh-CN"/>
        </w:rPr>
        <w:t>2：</w:t>
      </w:r>
      <w:r>
        <w:rPr>
          <w:rFonts w:hint="eastAsia" w:ascii="Times New Roman" w:hAnsi="Times New Roman" w:eastAsia="仿宋_GB2312" w:cs="Times New Roman"/>
          <w:color w:val="000000"/>
          <w:sz w:val="28"/>
        </w:rPr>
        <w:t>接触主要职业病危害因素人员职业健康检查项目及周期</w:t>
      </w:r>
      <w:r>
        <w:rPr>
          <w:rFonts w:hint="eastAsia" w:ascii="Times New Roman" w:hAnsi="Times New Roman" w:eastAsia="仿宋_GB2312" w:cs="Times New Roman"/>
          <w:color w:val="000000"/>
          <w:sz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C6C1F"/>
    <w:multiLevelType w:val="singleLevel"/>
    <w:tmpl w:val="0E1C6C1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OWNiYWMyYjdiY2IwNzJhMDFkNmUzMWMwNmQ1OTUifQ=="/>
  </w:docVars>
  <w:rsids>
    <w:rsidRoot w:val="3B962269"/>
    <w:rsid w:val="02AF463D"/>
    <w:rsid w:val="02BD3A70"/>
    <w:rsid w:val="09CD58AC"/>
    <w:rsid w:val="0D0278B5"/>
    <w:rsid w:val="0E5E344A"/>
    <w:rsid w:val="13981443"/>
    <w:rsid w:val="14281360"/>
    <w:rsid w:val="14AE30EF"/>
    <w:rsid w:val="1605554B"/>
    <w:rsid w:val="1AEC6C52"/>
    <w:rsid w:val="21DB3981"/>
    <w:rsid w:val="22161683"/>
    <w:rsid w:val="2BEB4803"/>
    <w:rsid w:val="34FF13DA"/>
    <w:rsid w:val="393B0F7A"/>
    <w:rsid w:val="3B962269"/>
    <w:rsid w:val="3DC92146"/>
    <w:rsid w:val="418A2E7A"/>
    <w:rsid w:val="424F26ED"/>
    <w:rsid w:val="42E8276A"/>
    <w:rsid w:val="43F6578F"/>
    <w:rsid w:val="47906225"/>
    <w:rsid w:val="48246146"/>
    <w:rsid w:val="600F2178"/>
    <w:rsid w:val="66D230C1"/>
    <w:rsid w:val="6A7B7EA7"/>
    <w:rsid w:val="6CEB1F96"/>
    <w:rsid w:val="71020212"/>
    <w:rsid w:val="7B0632F7"/>
    <w:rsid w:val="7D04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link w:val="1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4">
    <w:name w:val="样式1"/>
    <w:basedOn w:val="5"/>
    <w:next w:val="1"/>
    <w:qFormat/>
    <w:uiPriority w:val="0"/>
    <w:rPr>
      <w:sz w:val="28"/>
      <w:szCs w:val="28"/>
    </w:rPr>
  </w:style>
  <w:style w:type="paragraph" w:styleId="5">
    <w:name w:val="index heading"/>
    <w:basedOn w:val="1"/>
    <w:next w:val="6"/>
    <w:semiHidden/>
    <w:qFormat/>
    <w:uiPriority w:val="0"/>
    <w:rPr>
      <w:rFonts w:ascii="Arial" w:hAnsi="Arial" w:cs="Arial"/>
      <w:b/>
      <w:bCs/>
    </w:rPr>
  </w:style>
  <w:style w:type="paragraph" w:styleId="6">
    <w:name w:val="index 1"/>
    <w:basedOn w:val="1"/>
    <w:next w:val="1"/>
    <w:uiPriority w:val="0"/>
    <w:pPr>
      <w:spacing w:line="400" w:lineRule="exact"/>
      <w:ind w:left="-2" w:leftChars="-1" w:firstLine="1"/>
      <w:jc w:val="center"/>
    </w:pPr>
    <w:rPr>
      <w:rFonts w:ascii="仿宋_GB2312" w:hAnsi="仿宋_GB2312" w:eastAsia="仿宋_GB2312"/>
      <w:sz w:val="24"/>
    </w:rPr>
  </w:style>
  <w:style w:type="paragraph" w:styleId="8">
    <w:name w:val="Normal Indent"/>
    <w:basedOn w:val="1"/>
    <w:next w:val="1"/>
    <w:qFormat/>
    <w:uiPriority w:val="0"/>
    <w:pPr>
      <w:ind w:firstLine="420"/>
    </w:pPr>
  </w:style>
  <w:style w:type="paragraph" w:styleId="9">
    <w:name w:val="Body Text Indent"/>
    <w:basedOn w:val="1"/>
    <w:link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540" w:leftChars="257" w:right="0" w:firstLine="538" w:firstLineChars="192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正文文本缩进 Char"/>
    <w:basedOn w:val="12"/>
    <w:link w:val="9"/>
    <w:qFormat/>
    <w:uiPriority w:val="0"/>
    <w:rPr>
      <w:kern w:val="2"/>
      <w:sz w:val="28"/>
      <w:szCs w:val="24"/>
    </w:rPr>
  </w:style>
  <w:style w:type="character" w:customStyle="1" w:styleId="14">
    <w:name w:val="标题 2 Char"/>
    <w:basedOn w:val="12"/>
    <w:link w:val="7"/>
    <w:qFormat/>
    <w:uiPriority w:val="0"/>
    <w:rPr>
      <w:rFonts w:ascii="Arial" w:hAnsi="Arial" w:eastAsia="黑体" w:cs="Arial"/>
      <w:b/>
      <w:kern w:val="2"/>
      <w:sz w:val="32"/>
      <w:szCs w:val="32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6">
    <w:name w:val="默认段落字体 Para Char"/>
    <w:basedOn w:val="1"/>
    <w:qFormat/>
    <w:uiPriority w:val="0"/>
    <w:rPr>
      <w:szCs w:val="24"/>
    </w:rPr>
  </w:style>
  <w:style w:type="paragraph" w:customStyle="1" w:styleId="17">
    <w:name w:val="表内文字"/>
    <w:basedOn w:val="1"/>
    <w:qFormat/>
    <w:uiPriority w:val="0"/>
    <w:pPr>
      <w:adjustRightInd w:val="0"/>
      <w:snapToGrid w:val="0"/>
      <w:spacing w:before="62" w:beforeLines="20" w:after="62" w:afterLines="20"/>
      <w:jc w:val="center"/>
      <w:textAlignment w:val="center"/>
    </w:pPr>
    <w:rPr>
      <w:rFonts w:ascii="仿宋_GB2312" w:eastAsia="仿宋_GB2312"/>
      <w:szCs w:val="24"/>
    </w:rPr>
  </w:style>
  <w:style w:type="paragraph" w:customStyle="1" w:styleId="18">
    <w:name w:val="zw-表格"/>
    <w:basedOn w:val="1"/>
    <w:next w:val="1"/>
    <w:qFormat/>
    <w:uiPriority w:val="0"/>
    <w:pPr>
      <w:adjustRightInd w:val="0"/>
      <w:spacing w:line="240" w:lineRule="auto"/>
      <w:ind w:firstLine="0" w:firstLineChars="0"/>
      <w:jc w:val="center"/>
    </w:pPr>
    <w:rPr>
      <w:rFonts w:cs="Arial"/>
      <w:sz w:val="21"/>
    </w:rPr>
  </w:style>
  <w:style w:type="paragraph" w:customStyle="1" w:styleId="19">
    <w:name w:val="表格"/>
    <w:basedOn w:val="1"/>
    <w:qFormat/>
    <w:uiPriority w:val="0"/>
    <w:pPr>
      <w:spacing w:line="240" w:lineRule="auto"/>
      <w:jc w:val="center"/>
    </w:pPr>
    <w:rPr>
      <w:sz w:val="24"/>
      <w:lang w:val="zh-CN"/>
    </w:rPr>
  </w:style>
  <w:style w:type="paragraph" w:customStyle="1" w:styleId="20">
    <w:name w:val="4正文"/>
    <w:basedOn w:val="1"/>
    <w:qFormat/>
    <w:uiPriority w:val="0"/>
    <w:pPr>
      <w:adjustRightInd w:val="0"/>
      <w:textAlignment w:val="baseline"/>
    </w:pPr>
    <w:rPr>
      <w:rFonts w:ascii="宋体" w:hAnsi="宋体"/>
      <w:color w:val="auto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2539</Words>
  <Characters>2651</Characters>
  <Lines>0</Lines>
  <Paragraphs>0</Paragraphs>
  <TotalTime>3</TotalTime>
  <ScaleCrop>false</ScaleCrop>
  <LinksUpToDate>false</LinksUpToDate>
  <CharactersWithSpaces>2659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2017-07-31T06:56:00Z</dcterms:created>
  <dc:creator>Administrator</dc:creator>
  <cp:lastModifiedBy>落叶满空山</cp:lastModifiedBy>
  <dcterms:modified xsi:type="dcterms:W3CDTF">2023-02-28T08:41:42Z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72B767FD7FEE43818E71A1D292A290E3</vt:lpwstr>
  </property>
</Properties>
</file>