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屯昌吉盛农业开发有限公司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屯昌县黄岭农场十一队麻肚岭建筑用花岗岩建设项目</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机构工作规范》的要求，现将《屯昌吉盛农业开发有限公司屯昌县黄岭农场十一队麻肚岭建筑用花岗岩建设项目职业病危害控制效果评价报告》相关信息公示如下：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eastAsia="仿宋_GB2312" w:cs="Times New Roman"/>
          <w:b w:val="0"/>
          <w:bCs/>
          <w:sz w:val="28"/>
          <w:szCs w:val="28"/>
          <w:lang w:val="en-US" w:eastAsia="zh-CN"/>
        </w:rPr>
        <w:t>屯昌吉盛农业开发</w:t>
      </w:r>
      <w:r>
        <w:rPr>
          <w:rFonts w:hint="default" w:ascii="Times New Roman" w:hAnsi="Times New Roman" w:eastAsia="仿宋_GB2312" w:cs="Times New Roman"/>
          <w:b w:val="0"/>
          <w:bCs/>
          <w:sz w:val="28"/>
          <w:szCs w:val="28"/>
          <w:lang w:eastAsia="zh-CN"/>
        </w:rPr>
        <w:t>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28"/>
          <w:szCs w:val="22"/>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b w:val="0"/>
          <w:bCs w:val="0"/>
          <w:sz w:val="28"/>
          <w:szCs w:val="28"/>
          <w:lang w:val="en-US" w:eastAsia="zh-CN"/>
        </w:rPr>
        <w:t>屯昌县黄岭农场十一队麻肚岭，N：19°22'8.47"、E：109°57'39.88"。</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曾祥友</w:t>
      </w:r>
    </w:p>
    <w:p>
      <w:pPr>
        <w:keepNext w:val="0"/>
        <w:keepLines w:val="0"/>
        <w:pageBreakBefore w:val="0"/>
        <w:widowControl w:val="0"/>
        <w:kinsoku/>
        <w:wordWrap/>
        <w:overflowPunct/>
        <w:topLinePunct w:val="0"/>
        <w:bidi w:val="0"/>
        <w:spacing w:line="49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5.项目简介：</w:t>
      </w:r>
      <w:r>
        <w:rPr>
          <w:rFonts w:hint="default" w:ascii="Times New Roman" w:hAnsi="Times New Roman" w:eastAsia="仿宋_GB2312" w:cs="Times New Roman"/>
          <w:color w:val="auto"/>
          <w:sz w:val="28"/>
          <w:szCs w:val="28"/>
          <w:highlight w:val="none"/>
        </w:rPr>
        <w:t>矿山推断内蕴经济资源量（333）79.84万m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rPr>
        <w:t>，设计范围（露天境界范围）内可采的矿石量为62.613万m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矿石</w:t>
      </w:r>
      <w:r>
        <w:rPr>
          <w:rFonts w:hint="default" w:ascii="Times New Roman" w:hAnsi="Times New Roman" w:eastAsia="仿宋_GB2312" w:cs="Times New Roman"/>
          <w:color w:val="auto"/>
          <w:sz w:val="28"/>
          <w:szCs w:val="28"/>
          <w:highlight w:val="none"/>
          <w:lang w:val="en-US" w:eastAsia="zh-CN"/>
        </w:rPr>
        <w:t>设计</w:t>
      </w:r>
      <w:r>
        <w:rPr>
          <w:rFonts w:hint="default" w:ascii="Times New Roman" w:hAnsi="Times New Roman" w:eastAsia="仿宋_GB2312" w:cs="Times New Roman"/>
          <w:color w:val="auto"/>
          <w:sz w:val="28"/>
          <w:szCs w:val="28"/>
          <w:highlight w:val="none"/>
        </w:rPr>
        <w:t>生产能力为2</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rPr>
        <w:t>/a</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花岗岩，服务年限</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废料的设计处理能力为5</w:t>
      </w:r>
      <w:r>
        <w:rPr>
          <w:rFonts w:hint="default" w:ascii="Times New Roman" w:hAnsi="Times New Roman" w:eastAsia="仿宋_GB2312" w:cs="Times New Roman"/>
          <w:color w:val="auto"/>
          <w:sz w:val="28"/>
          <w:szCs w:val="28"/>
          <w:highlight w:val="none"/>
        </w:rPr>
        <w:t>万m</w:t>
      </w:r>
      <w:r>
        <w:rPr>
          <w:rFonts w:hint="default" w:ascii="Times New Roman" w:hAnsi="Times New Roman" w:eastAsia="仿宋_GB2312" w:cs="Times New Roman"/>
          <w:color w:val="auto"/>
          <w:sz w:val="28"/>
          <w:szCs w:val="28"/>
          <w:highlight w:val="none"/>
          <w:vertAlign w:val="superscript"/>
        </w:rPr>
        <w:t>3</w:t>
      </w:r>
      <w:r>
        <w:rPr>
          <w:rFonts w:hint="default" w:ascii="Times New Roman" w:hAnsi="Times New Roman" w:eastAsia="仿宋_GB2312" w:cs="Times New Roman"/>
          <w:color w:val="auto"/>
          <w:sz w:val="28"/>
          <w:szCs w:val="28"/>
          <w:highlight w:val="none"/>
        </w:rPr>
        <w:t>/a。</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0</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曾祥友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w:t>
      </w:r>
      <w:r>
        <w:rPr>
          <w:rFonts w:hint="eastAsia" w:ascii="Times New Roman" w:hAnsi="Times New Roman" w:eastAsia="仿宋_GB2312"/>
          <w:sz w:val="28"/>
          <w:szCs w:val="28"/>
          <w:lang w:val="en-US" w:eastAsia="zh-CN"/>
        </w:rPr>
        <w:t>矽尘、噪声和</w:t>
      </w:r>
      <w:r>
        <w:rPr>
          <w:rFonts w:hint="default" w:ascii="Times New Roman" w:hAnsi="Times New Roman" w:eastAsia="仿宋_GB2312"/>
          <w:sz w:val="28"/>
          <w:szCs w:val="28"/>
          <w:lang w:eastAsia="zh-CN"/>
        </w:rPr>
        <w:t>高温</w:t>
      </w:r>
      <w:r>
        <w:rPr>
          <w:rFonts w:hint="eastAsia" w:ascii="Times New Roman" w:hAnsi="Times New Roman" w:eastAsia="仿宋_GB2312"/>
          <w:sz w:val="28"/>
          <w:szCs w:val="28"/>
          <w:lang w:val="en-US" w:eastAsia="zh-CN"/>
        </w:rPr>
        <w:t>等</w:t>
      </w:r>
      <w:r>
        <w:rPr>
          <w:rFonts w:hint="eastAsia" w:ascii="Times New Roman" w:eastAsia="仿宋_GB2312" w:cs="Times New Roman"/>
          <w:color w:val="000000"/>
          <w:kern w:val="2"/>
          <w:sz w:val="28"/>
          <w:szCs w:val="28"/>
          <w:shd w:val="clear" w:color="auto" w:fill="FFFFFF"/>
          <w:lang w:val="en-US" w:eastAsia="zh-CN" w:bidi="ar-SA"/>
        </w:rPr>
        <w:t>。经过现场检测结果可知，</w:t>
      </w:r>
      <w:r>
        <w:rPr>
          <w:rFonts w:hint="eastAsia" w:eastAsia="仿宋_GB2312" w:cs="Times New Roman"/>
          <w:kern w:val="2"/>
          <w:sz w:val="28"/>
          <w:szCs w:val="28"/>
          <w:lang w:val="en-US" w:eastAsia="zh-CN" w:bidi="ar"/>
        </w:rPr>
        <w:t>一破操作工接触到的噪声和矽尘总尘超标，破碎巡检工接触到的噪声超标，洗砂机操作工接触到的矽尘总尘超标，其他岗位接触到的职业病危害因素均符合职业限值的要求</w:t>
      </w:r>
      <w:r>
        <w:rPr>
          <w:rFonts w:hint="default" w:ascii="Times New Roman" w:hAnsi="Times New Roman" w:eastAsia="仿宋_GB2312" w:cs="Times New Roman"/>
          <w:kern w:val="2"/>
          <w:sz w:val="28"/>
          <w:szCs w:val="28"/>
          <w:lang w:bidi="ar"/>
        </w:rPr>
        <w:t>。</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4"/>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sz w:val="28"/>
          <w:szCs w:val="28"/>
        </w:rPr>
      </w:pPr>
      <w:bookmarkStart w:id="0" w:name="_Toc22287"/>
      <w:bookmarkStart w:id="1" w:name="_Toc25206"/>
      <w:bookmarkStart w:id="2" w:name="_Toc8615"/>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ascii="Times New Roman" w:cs="Times New Roman"/>
          <w:color w:val="000000"/>
          <w:sz w:val="28"/>
          <w:szCs w:val="28"/>
          <w:lang w:val="en-US" w:eastAsia="zh-CN"/>
        </w:rPr>
        <w:t>本</w:t>
      </w:r>
      <w:r>
        <w:rPr>
          <w:rFonts w:hint="default" w:ascii="Times New Roman" w:hAnsi="Times New Roman" w:eastAsia="仿宋_GB2312" w:cs="Times New Roman"/>
          <w:color w:val="000000"/>
          <w:sz w:val="28"/>
          <w:szCs w:val="28"/>
          <w:lang w:eastAsia="zh-CN"/>
        </w:rPr>
        <w:t>建</w:t>
      </w:r>
      <w:r>
        <w:rPr>
          <w:rFonts w:hint="default" w:ascii="Times New Roman" w:hAnsi="Times New Roman" w:eastAsia="仿宋_GB2312" w:cs="Times New Roman"/>
          <w:color w:val="000000"/>
          <w:sz w:val="28"/>
          <w:szCs w:val="28"/>
        </w:rPr>
        <w:t>项目的工艺流程，</w:t>
      </w:r>
      <w:r>
        <w:rPr>
          <w:rFonts w:hint="eastAsia" w:ascii="Times New Roman" w:cs="Times New Roman"/>
          <w:color w:val="000000"/>
          <w:sz w:val="28"/>
          <w:szCs w:val="28"/>
          <w:lang w:val="en-US" w:eastAsia="zh-CN"/>
        </w:rPr>
        <w:t>本</w:t>
      </w:r>
      <w:r>
        <w:rPr>
          <w:rFonts w:hint="default" w:ascii="Times New Roman" w:hAnsi="Times New Roman" w:eastAsia="仿宋_GB2312" w:cs="Times New Roman"/>
          <w:color w:val="000000"/>
          <w:sz w:val="28"/>
          <w:szCs w:val="28"/>
          <w:lang w:val="en-US" w:eastAsia="zh-CN"/>
        </w:rPr>
        <w:t>建项目</w:t>
      </w:r>
      <w:r>
        <w:rPr>
          <w:rFonts w:hint="default" w:ascii="Times New Roman" w:hAnsi="Times New Roman" w:eastAsia="仿宋_GB2312" w:cs="Times New Roman"/>
          <w:color w:val="000000"/>
          <w:sz w:val="28"/>
          <w:szCs w:val="28"/>
        </w:rPr>
        <w:t>属于</w:t>
      </w:r>
      <w:r>
        <w:rPr>
          <w:rFonts w:hint="default" w:ascii="Times New Roman" w:hAnsi="Times New Roman" w:eastAsia="仿宋_GB2312" w:cs="Times New Roman"/>
          <w:b/>
          <w:color w:val="000000"/>
          <w:sz w:val="28"/>
          <w:szCs w:val="28"/>
        </w:rPr>
        <w:t>非金属矿采选业</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cs="Times New Roman"/>
          <w:color w:val="000000"/>
          <w:sz w:val="28"/>
          <w:szCs w:val="28"/>
          <w:lang w:val="en-US" w:eastAsia="zh-CN"/>
        </w:rPr>
        <w:t>B10</w:t>
      </w:r>
      <w:r>
        <w:rPr>
          <w:rFonts w:hint="default" w:ascii="Times New Roman" w:hAnsi="Times New Roman" w:eastAsia="仿宋_GB2312" w:cs="Times New Roman"/>
          <w:color w:val="000000"/>
          <w:sz w:val="28"/>
          <w:szCs w:val="28"/>
          <w:lang w:val="en-US" w:eastAsia="zh-CN"/>
        </w:rPr>
        <w:t>）中的第</w:t>
      </w:r>
      <w:r>
        <w:rPr>
          <w:rFonts w:hint="eastAsia" w:ascii="Times New Roman" w:hAnsi="Times New Roman" w:cs="Times New Roman"/>
          <w:color w:val="000000"/>
          <w:sz w:val="28"/>
          <w:szCs w:val="28"/>
          <w:lang w:val="en-US" w:eastAsia="zh-CN"/>
        </w:rPr>
        <w:t>1</w:t>
      </w:r>
      <w:r>
        <w:rPr>
          <w:rFonts w:hint="default" w:ascii="Times New Roman" w:hAnsi="Times New Roman" w:eastAsia="仿宋_GB2312" w:cs="Times New Roman"/>
          <w:color w:val="000000"/>
          <w:sz w:val="28"/>
          <w:szCs w:val="28"/>
          <w:lang w:val="en-US" w:eastAsia="zh-CN"/>
        </w:rPr>
        <w:t>项：</w:t>
      </w:r>
      <w:r>
        <w:rPr>
          <w:rFonts w:hint="eastAsia" w:ascii="Times New Roman" w:hAnsi="Times New Roman" w:cs="Times New Roman"/>
          <w:color w:val="000000"/>
          <w:sz w:val="28"/>
          <w:szCs w:val="28"/>
          <w:lang w:val="en-US" w:eastAsia="zh-CN"/>
        </w:rPr>
        <w:t>土砂石开采</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cs="Times New Roman"/>
          <w:color w:val="000000"/>
          <w:sz w:val="28"/>
          <w:szCs w:val="28"/>
          <w:lang w:val="en-US" w:eastAsia="zh-CN"/>
        </w:rPr>
        <w:t>B101</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，属于职业病危害因素风险等级为</w:t>
      </w:r>
      <w:r>
        <w:rPr>
          <w:rFonts w:hint="default" w:ascii="Times New Roman" w:hAnsi="Times New Roman" w:eastAsia="仿宋_GB2312" w:cs="Times New Roman"/>
          <w:b/>
          <w:bCs/>
          <w:color w:val="000000"/>
          <w:sz w:val="28"/>
          <w:szCs w:val="28"/>
          <w:lang w:val="en-US" w:eastAsia="zh-CN"/>
        </w:rPr>
        <w:t>严重</w:t>
      </w:r>
      <w:r>
        <w:rPr>
          <w:rFonts w:hint="default" w:ascii="Times New Roman" w:hAnsi="Times New Roman" w:eastAsia="仿宋_GB2312" w:cs="Times New Roman"/>
          <w:color w:val="000000"/>
          <w:sz w:val="28"/>
          <w:szCs w:val="28"/>
          <w:lang w:eastAsia="zh-CN"/>
        </w:rPr>
        <w:t>。</w:t>
      </w:r>
    </w:p>
    <w:bookmarkEnd w:id="0"/>
    <w:bookmarkEnd w:id="1"/>
    <w:bookmarkEnd w:id="2"/>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《屯昌吉盛农业开发有限公司屯昌县黄岭农场十一队麻肚岭建筑用花岗岩建设项目职业病危害控制效果评价》按专家组意见修改后通过。</w:t>
      </w:r>
      <w:bookmarkStart w:id="3" w:name="_GoBack"/>
      <w:bookmarkEnd w:id="3"/>
    </w:p>
    <w:p>
      <w:pPr>
        <w:pStyle w:val="4"/>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B24322F"/>
    <w:rsid w:val="0D0278B5"/>
    <w:rsid w:val="0E5E344A"/>
    <w:rsid w:val="13981443"/>
    <w:rsid w:val="14281360"/>
    <w:rsid w:val="14AE30EF"/>
    <w:rsid w:val="1605554B"/>
    <w:rsid w:val="17086EB6"/>
    <w:rsid w:val="17260790"/>
    <w:rsid w:val="18EC2F5D"/>
    <w:rsid w:val="19113D5F"/>
    <w:rsid w:val="1AEC6C52"/>
    <w:rsid w:val="1C2376C1"/>
    <w:rsid w:val="21DB3981"/>
    <w:rsid w:val="22161683"/>
    <w:rsid w:val="221E2EC8"/>
    <w:rsid w:val="237F14DE"/>
    <w:rsid w:val="265B5C08"/>
    <w:rsid w:val="2B4C70E3"/>
    <w:rsid w:val="2BEB4803"/>
    <w:rsid w:val="34FF13DA"/>
    <w:rsid w:val="38CF136A"/>
    <w:rsid w:val="393B0F7A"/>
    <w:rsid w:val="3B962269"/>
    <w:rsid w:val="3DC92146"/>
    <w:rsid w:val="40ED6BF8"/>
    <w:rsid w:val="418A2E7A"/>
    <w:rsid w:val="424F26ED"/>
    <w:rsid w:val="429E1C31"/>
    <w:rsid w:val="42E8276A"/>
    <w:rsid w:val="43F6578F"/>
    <w:rsid w:val="47906225"/>
    <w:rsid w:val="48246146"/>
    <w:rsid w:val="4EC25C32"/>
    <w:rsid w:val="4FCE7CA1"/>
    <w:rsid w:val="5E12445F"/>
    <w:rsid w:val="600F2178"/>
    <w:rsid w:val="61A82145"/>
    <w:rsid w:val="62FF5264"/>
    <w:rsid w:val="654369A9"/>
    <w:rsid w:val="66D230C1"/>
    <w:rsid w:val="69476A6F"/>
    <w:rsid w:val="698C4B81"/>
    <w:rsid w:val="6A956665"/>
    <w:rsid w:val="6CEB1F96"/>
    <w:rsid w:val="6D300762"/>
    <w:rsid w:val="70AD02FD"/>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ind w:firstLine="420"/>
    </w:p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 w:type="character" w:customStyle="1" w:styleId="11">
    <w:name w:val="font21"/>
    <w:basedOn w:val="8"/>
    <w:qFormat/>
    <w:uiPriority w:val="0"/>
    <w:rPr>
      <w:rFonts w:hint="eastAsia" w:ascii="宋体" w:hAnsi="宋体" w:eastAsia="宋体" w:cs="宋体"/>
      <w:color w:val="000000"/>
      <w:sz w:val="20"/>
      <w:szCs w:val="20"/>
      <w:u w:val="none"/>
    </w:rPr>
  </w:style>
  <w:style w:type="paragraph" w:customStyle="1" w:styleId="12">
    <w:name w:val="默认段落字体 Para Char"/>
    <w:basedOn w:val="1"/>
    <w:qFormat/>
    <w:uiPriority w:val="0"/>
    <w:rPr>
      <w:szCs w:val="24"/>
    </w:rPr>
  </w:style>
  <w:style w:type="paragraph" w:customStyle="1" w:styleId="13">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4">
    <w:name w:val="zw-表格"/>
    <w:basedOn w:val="1"/>
    <w:next w:val="1"/>
    <w:qFormat/>
    <w:uiPriority w:val="0"/>
    <w:pPr>
      <w:adjustRightInd w:val="0"/>
      <w:spacing w:line="240" w:lineRule="auto"/>
      <w:ind w:firstLine="0" w:firstLineChars="0"/>
      <w:jc w:val="center"/>
    </w:pPr>
    <w:rPr>
      <w:rFonts w:cs="Arial"/>
      <w:sz w:val="21"/>
    </w:rPr>
  </w:style>
  <w:style w:type="paragraph" w:customStyle="1" w:styleId="15">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2022-01-20T08:55:38Z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72B767FD7FEE43818E71A1D292A290E3</vt:lpwstr>
  </property>
</Properties>
</file>