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海南文昌福耀硅砂有限公司</w:t>
      </w:r>
    </w:p>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职业病危害现状评价网上公开信息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机构工作规范》的要求，现将《海南文昌福耀硅砂有限公司</w:t>
      </w:r>
      <w:r>
        <w:rPr>
          <w:rFonts w:hint="eastAsia" w:ascii="Times New Roman" w:hAnsi="Times New Roman" w:eastAsia="仿宋_GB2312" w:cs="Times New Roman"/>
          <w:color w:val="000000"/>
          <w:kern w:val="2"/>
          <w:sz w:val="28"/>
          <w:szCs w:val="28"/>
          <w:highlight w:val="none"/>
          <w:lang w:val="en-US" w:eastAsia="zh-CN" w:bidi="ar"/>
        </w:rPr>
        <w:t>职业病危害现状评价报告</w:t>
      </w:r>
      <w:r>
        <w:rPr>
          <w:rFonts w:hint="eastAsia" w:ascii="仿宋_GB2312" w:hAnsi="仿宋_GB2312" w:eastAsia="仿宋_GB2312" w:cs="仿宋_GB2312"/>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1.评价单位：海南佑源检测科技有限公司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2.建设单位：</w:t>
      </w:r>
      <w:r>
        <w:rPr>
          <w:rFonts w:hint="eastAsia" w:ascii="仿宋_GB2312" w:hAnsi="仿宋_GB2312" w:eastAsia="仿宋_GB2312" w:cs="仿宋_GB2312"/>
          <w:b/>
          <w:bCs/>
          <w:sz w:val="28"/>
          <w:szCs w:val="28"/>
          <w:lang w:val="en-US" w:eastAsia="zh-CN"/>
        </w:rPr>
        <w:t>海南文昌福耀硅砂有限公司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3.项目地理位置：</w:t>
      </w:r>
      <w:r>
        <w:rPr>
          <w:rFonts w:hint="eastAsia" w:ascii="Times New Roman" w:hAnsi="Times New Roman" w:eastAsia="仿宋_GB2312" w:cs="Times New Roman"/>
          <w:color w:val="000000"/>
          <w:kern w:val="2"/>
          <w:sz w:val="28"/>
          <w:szCs w:val="28"/>
          <w:shd w:val="clear" w:color="auto" w:fill="FFFFFF"/>
          <w:lang w:val="en-US" w:eastAsia="zh-CN" w:bidi="ar-SA"/>
        </w:rPr>
        <w:t>海南文昌福耀硅砂有限公司</w:t>
      </w:r>
      <w:r>
        <w:rPr>
          <w:rFonts w:hint="eastAsia" w:ascii="Times New Roman" w:hAnsi="Times New Roman" w:eastAsia="仿宋_GB2312"/>
          <w:color w:val="auto"/>
          <w:sz w:val="28"/>
          <w:highlight w:val="none"/>
          <w:lang w:val="en-US" w:eastAsia="zh-CN"/>
        </w:rPr>
        <w:t>位于海南省文昌市龙楼镇全美村北侧的赤筠村一带（位于东经110°56'15"~110°57'30"，北纬19°42'15" ~19°43'15"范围）</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符传日</w:t>
      </w:r>
    </w:p>
    <w:p>
      <w:pPr>
        <w:pStyle w:val="4"/>
        <w:keepNext w:val="0"/>
        <w:keepLines w:val="0"/>
        <w:pageBreakBefore w:val="0"/>
        <w:widowControl w:val="0"/>
        <w:kinsoku/>
        <w:wordWrap/>
        <w:overflowPunct/>
        <w:topLinePunct w:val="0"/>
        <w:autoSpaceDE/>
        <w:autoSpaceDN/>
        <w:bidi w:val="0"/>
        <w:adjustRightInd/>
        <w:snapToGrid/>
        <w:spacing w:line="490" w:lineRule="exact"/>
        <w:ind w:left="0" w:leftChars="0" w:firstLine="0" w:firstLineChars="0"/>
        <w:textAlignment w:val="auto"/>
        <w:rPr>
          <w:rFonts w:hint="eastAsia" w:ascii="Times New Roman" w:hAnsi="Times New Roman" w:eastAsia="仿宋_GB2312" w:cs="Times New Roman"/>
          <w:color w:val="000000"/>
          <w:kern w:val="2"/>
          <w:sz w:val="28"/>
          <w:szCs w:val="28"/>
          <w:shd w:val="clear" w:color="auto" w:fill="FFFFFF"/>
          <w:lang w:val="en-US" w:eastAsia="zh-CN" w:bidi="ar-SA"/>
        </w:rPr>
      </w:pPr>
      <w:r>
        <w:rPr>
          <w:rFonts w:hint="default" w:ascii="Times New Roman" w:hAnsi="Times New Roman" w:eastAsia="仿宋_GB2312" w:cs="Times New Roman"/>
          <w:b/>
          <w:bCs/>
          <w:sz w:val="28"/>
          <w:szCs w:val="28"/>
          <w:lang w:val="en-US" w:eastAsia="zh-CN"/>
        </w:rPr>
        <w:t>5.项目简介：</w:t>
      </w:r>
      <w:r>
        <w:rPr>
          <w:rFonts w:hint="eastAsia" w:ascii="Times New Roman" w:hAnsi="Times New Roman" w:eastAsia="仿宋_GB2312" w:cs="Times New Roman"/>
          <w:color w:val="000000"/>
          <w:kern w:val="2"/>
          <w:sz w:val="28"/>
          <w:szCs w:val="28"/>
          <w:shd w:val="clear" w:color="auto" w:fill="FFFFFF"/>
          <w:lang w:val="en-US" w:eastAsia="zh-CN" w:bidi="ar-SA"/>
        </w:rPr>
        <w:t>海南文昌福耀硅砂有限公司是福耀玻璃工业集团股份有限公司下属的全资子公司，属于“非金属矿采选业”行业，专业从事硅砂采选，主要经营范围包括：硅砂与其他矿产的采选与销售、自产产品的进出口业务。福耀硅砂成立于2003年7月16日，2015年10月15日重新注册，注册地址为海南省文昌市龙楼镇（N19.71243°，E110.95047°），采取露天开采的方式进行硅砂和其他矿产的开采。</w:t>
      </w:r>
    </w:p>
    <w:p>
      <w:pPr>
        <w:keepNext w:val="0"/>
        <w:keepLines w:val="0"/>
        <w:pageBreakBefore w:val="0"/>
        <w:widowControl w:val="0"/>
        <w:kinsoku/>
        <w:wordWrap/>
        <w:overflowPunct/>
        <w:topLinePunct w:val="0"/>
        <w:bidi w:val="0"/>
        <w:snapToGrid/>
        <w:spacing w:line="490" w:lineRule="exact"/>
        <w:ind w:firstLine="560" w:firstLineChars="200"/>
        <w:textAlignment w:val="auto"/>
        <w:rPr>
          <w:rFonts w:hint="default" w:ascii="Times New Roman" w:eastAsia="仿宋_GB2312"/>
          <w:color w:val="auto"/>
          <w:sz w:val="28"/>
          <w:szCs w:val="28"/>
          <w:shd w:val="clear" w:color="auto" w:fill="FFFFFF"/>
          <w:lang w:val="en-US" w:eastAsia="zh-CN"/>
        </w:rPr>
      </w:pPr>
      <w:r>
        <w:rPr>
          <w:rFonts w:hint="eastAsia" w:ascii="Times New Roman" w:eastAsia="仿宋_GB2312"/>
          <w:color w:val="auto"/>
          <w:sz w:val="28"/>
          <w:szCs w:val="28"/>
          <w:shd w:val="clear" w:color="auto" w:fill="FFFFFF"/>
          <w:lang w:val="en-US" w:eastAsia="zh-CN"/>
        </w:rPr>
        <w:t>用人单位自2018年3月现状评价至今，其总体布局、生产工艺、建筑卫生学、职业病防护设施、辅助用室和职业卫生管理等均无变化。设备布局上脱水筛从选矿车间的四楼移至一楼。</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w:t>
      </w:r>
      <w:r>
        <w:rPr>
          <w:rFonts w:hint="eastAsia"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5</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5</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符传日</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2"/>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工频电场、电焊弧光、高温、噪声、矽尘、电焊烟尘、氮氧化物、臭氧、锰及其无机化合物和一氧化碳。经过现场检测结果可知，采砂船操作工、采砂船操作工副手、水处理工、上料工和脱水工接触到的噪声强度不符合职业接触限值的要求，接触到的矽尘浓度符合</w:t>
      </w:r>
      <w:r>
        <w:rPr>
          <w:rFonts w:hint="eastAsia" w:ascii="Times New Roman" w:eastAsia="仿宋_GB2312" w:cs="Times New Roman"/>
          <w:color w:val="000000"/>
          <w:kern w:val="2"/>
          <w:sz w:val="28"/>
          <w:szCs w:val="28"/>
          <w:shd w:val="clear" w:color="auto" w:fill="FFFFFF"/>
          <w:lang w:val="en-US" w:eastAsia="zh-CN" w:bidi="ar-SA"/>
        </w:rPr>
        <w:t>职业接触限值的要求；其他岗位接触到的职业危害因素检测结果均符合职业接触限值的要求。</w:t>
      </w:r>
    </w:p>
    <w:p>
      <w:pPr>
        <w:pStyle w:val="2"/>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pStyle w:val="4"/>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中建设项目职业病危害风险分类管理目录，并</w:t>
      </w:r>
      <w:r>
        <w:rPr>
          <w:rFonts w:hint="default" w:ascii="Times New Roman" w:hAnsi="Times New Roman" w:eastAsia="仿宋_GB2312" w:cs="Times New Roman"/>
          <w:color w:val="000000"/>
          <w:sz w:val="28"/>
          <w:szCs w:val="28"/>
        </w:rPr>
        <w:t>结合</w:t>
      </w:r>
      <w:r>
        <w:rPr>
          <w:rFonts w:hint="eastAsia" w:eastAsia="仿宋_GB2312" w:cs="Times New Roman"/>
          <w:color w:val="000000"/>
          <w:sz w:val="28"/>
          <w:szCs w:val="28"/>
          <w:lang w:val="en-US" w:eastAsia="zh-CN"/>
        </w:rPr>
        <w:t>用人单位</w:t>
      </w:r>
      <w:r>
        <w:rPr>
          <w:rFonts w:hint="default" w:ascii="Times New Roman" w:hAnsi="Times New Roman" w:eastAsia="仿宋_GB2312" w:cs="Times New Roman"/>
          <w:color w:val="000000"/>
          <w:sz w:val="28"/>
          <w:szCs w:val="28"/>
        </w:rPr>
        <w:t>的工艺流程，</w:t>
      </w:r>
      <w:r>
        <w:rPr>
          <w:rFonts w:hint="eastAsia" w:eastAsia="仿宋_GB2312" w:cs="Times New Roman"/>
          <w:color w:val="000000"/>
          <w:sz w:val="28"/>
          <w:szCs w:val="28"/>
          <w:lang w:val="en-US" w:eastAsia="zh-CN"/>
        </w:rPr>
        <w:t>用人单位</w:t>
      </w:r>
      <w:r>
        <w:rPr>
          <w:rFonts w:hint="default" w:ascii="Times New Roman" w:hAnsi="Times New Roman" w:eastAsia="仿宋_GB2312" w:cs="Times New Roman"/>
          <w:color w:val="000000"/>
          <w:sz w:val="28"/>
          <w:szCs w:val="28"/>
        </w:rPr>
        <w:t>属于</w:t>
      </w:r>
      <w:r>
        <w:rPr>
          <w:rFonts w:hint="default" w:ascii="Times New Roman" w:hAnsi="Times New Roman" w:eastAsia="仿宋_GB2312" w:cs="Times New Roman"/>
          <w:color w:val="000000"/>
          <w:sz w:val="28"/>
          <w:szCs w:val="28"/>
          <w:lang w:val="en-US" w:eastAsia="zh-CN"/>
        </w:rPr>
        <w:t>非金属矿采选业（行业代码</w:t>
      </w:r>
      <w:r>
        <w:rPr>
          <w:rFonts w:hint="eastAsia" w:ascii="Times New Roman" w:hAnsi="Times New Roman" w:eastAsia="仿宋_GB2312" w:cs="Times New Roman"/>
          <w:color w:val="000000"/>
          <w:sz w:val="28"/>
          <w:szCs w:val="28"/>
          <w:lang w:val="en-US" w:eastAsia="zh-CN"/>
        </w:rPr>
        <w:t>B10</w:t>
      </w:r>
      <w:r>
        <w:rPr>
          <w:rFonts w:hint="default" w:ascii="Times New Roman" w:hAnsi="Times New Roman" w:eastAsia="仿宋_GB2312" w:cs="Times New Roman"/>
          <w:color w:val="000000"/>
          <w:sz w:val="28"/>
          <w:szCs w:val="28"/>
          <w:lang w:val="en-US" w:eastAsia="zh-CN"/>
        </w:rPr>
        <w:t>）中的第</w:t>
      </w:r>
      <w:r>
        <w:rPr>
          <w:rFonts w:hint="eastAsia"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lang w:val="en-US" w:eastAsia="zh-CN"/>
        </w:rPr>
        <w:t>项：</w:t>
      </w:r>
      <w:r>
        <w:rPr>
          <w:rFonts w:hint="eastAsia" w:ascii="Times New Roman" w:hAnsi="Times New Roman" w:eastAsia="仿宋_GB2312" w:cs="Times New Roman"/>
          <w:color w:val="000000"/>
          <w:sz w:val="28"/>
          <w:szCs w:val="28"/>
          <w:lang w:val="en-US" w:eastAsia="zh-CN"/>
        </w:rPr>
        <w:t>石棉、石英砂及其他非金属矿采选</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eastAsia="仿宋_GB2312" w:cs="Times New Roman"/>
          <w:color w:val="000000"/>
          <w:sz w:val="28"/>
          <w:szCs w:val="28"/>
          <w:lang w:val="en-US" w:eastAsia="zh-CN"/>
        </w:rPr>
        <w:t>B109</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，职业病危害因素风险等级为</w:t>
      </w:r>
      <w:r>
        <w:rPr>
          <w:rFonts w:hint="eastAsia" w:ascii="Times New Roman" w:hAnsi="Times New Roman" w:eastAsia="仿宋_GB2312" w:cs="Times New Roman"/>
          <w:b/>
          <w:bCs/>
          <w:color w:val="000000"/>
          <w:sz w:val="28"/>
          <w:szCs w:val="28"/>
          <w:lang w:val="en-US" w:eastAsia="zh-CN"/>
        </w:rPr>
        <w:t>严重</w:t>
      </w:r>
      <w:r>
        <w:rPr>
          <w:rFonts w:hint="default" w:ascii="Times New Roman" w:hAnsi="Times New Roman" w:eastAsia="仿宋_GB2312" w:cs="Times New Roman"/>
          <w:color w:val="000000"/>
          <w:sz w:val="28"/>
          <w:szCs w:val="28"/>
          <w:lang w:eastAsia="zh-CN"/>
        </w:rPr>
        <w:t>。</w:t>
      </w:r>
    </w:p>
    <w:p>
      <w:pPr>
        <w:spacing w:line="490" w:lineRule="exact"/>
        <w:outlineLvl w:val="0"/>
        <w:rPr>
          <w:rFonts w:hint="default" w:ascii="Times New Roman" w:hAnsi="Times New Roman" w:eastAsia="仿宋_GB2312" w:cs="Times New Roman"/>
          <w:b/>
          <w:bCs/>
          <w:sz w:val="28"/>
          <w:szCs w:val="28"/>
          <w:highlight w:val="none"/>
        </w:rPr>
      </w:pPr>
      <w:bookmarkStart w:id="0" w:name="_Toc8615"/>
      <w:bookmarkStart w:id="1" w:name="_Toc22287"/>
      <w:bookmarkStart w:id="2" w:name="_Toc25206"/>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w:t>
      </w:r>
      <w:r>
        <w:rPr>
          <w:rFonts w:hint="default" w:ascii="Times New Roman" w:hAnsi="Times New Roman" w:eastAsia="仿宋_GB2312" w:cs="Times New Roman"/>
          <w:b/>
          <w:bCs/>
          <w:sz w:val="28"/>
          <w:szCs w:val="28"/>
          <w:highlight w:val="none"/>
        </w:rPr>
        <w:t>建议</w:t>
      </w:r>
      <w:bookmarkEnd w:id="0"/>
      <w:bookmarkEnd w:id="1"/>
      <w:bookmarkEnd w:id="2"/>
      <w:bookmarkStart w:id="17" w:name="_GoBack"/>
      <w:bookmarkEnd w:id="17"/>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sz w:val="28"/>
          <w:highlight w:val="none"/>
          <w:shd w:val="clear" w:color="auto" w:fill="auto"/>
        </w:rPr>
      </w:pPr>
      <w:r>
        <w:rPr>
          <w:rFonts w:hint="default" w:ascii="Times New Roman" w:hAnsi="Times New Roman" w:eastAsia="仿宋_GB2312" w:cs="Times New Roman"/>
          <w:color w:val="000000"/>
          <w:sz w:val="28"/>
          <w:highlight w:val="none"/>
          <w:shd w:val="clear" w:color="auto" w:fill="auto"/>
        </w:rPr>
        <w:t>针对分项结论中存在的问题，从组织管理、个人防护、应急救援等方面，</w:t>
      </w:r>
      <w:r>
        <w:rPr>
          <w:rFonts w:hint="default" w:ascii="Times New Roman" w:hAnsi="Times New Roman" w:eastAsia="仿宋_GB2312" w:cs="Times New Roman"/>
          <w:sz w:val="28"/>
          <w:highlight w:val="none"/>
          <w:shd w:val="clear" w:color="auto" w:fill="auto"/>
        </w:rPr>
        <w:t>有针对性地提出</w:t>
      </w:r>
      <w:r>
        <w:rPr>
          <w:rFonts w:hint="default" w:ascii="Times New Roman" w:hAnsi="Times New Roman" w:eastAsia="仿宋_GB2312" w:cs="Times New Roman"/>
          <w:color w:val="000000"/>
          <w:sz w:val="28"/>
          <w:highlight w:val="none"/>
          <w:shd w:val="clear" w:color="auto" w:fill="auto"/>
          <w:lang w:eastAsia="zh-CN"/>
        </w:rPr>
        <w:t>洋浦陆邦混凝土有限公司</w:t>
      </w:r>
      <w:r>
        <w:rPr>
          <w:rFonts w:hint="default" w:ascii="Times New Roman" w:hAnsi="Times New Roman" w:eastAsia="仿宋_GB2312" w:cs="Times New Roman"/>
          <w:sz w:val="28"/>
          <w:highlight w:val="none"/>
          <w:shd w:val="clear" w:color="auto" w:fill="auto"/>
        </w:rPr>
        <w:t>职业病防治日常管理工作的整改性、持续改进性和预防性等建议措施。</w:t>
      </w:r>
    </w:p>
    <w:p>
      <w:pPr>
        <w:keepNext/>
        <w:keepLines/>
        <w:pageBreakBefore w:val="0"/>
        <w:widowControl w:val="0"/>
        <w:kinsoku/>
        <w:wordWrap/>
        <w:overflowPunct/>
        <w:topLinePunct w:val="0"/>
        <w:bidi w:val="0"/>
        <w:snapToGrid w:val="0"/>
        <w:spacing w:line="490" w:lineRule="exact"/>
        <w:ind w:left="0" w:firstLine="0"/>
        <w:textAlignment w:val="auto"/>
        <w:outlineLvl w:val="1"/>
        <w:rPr>
          <w:rFonts w:ascii="Times New Roman" w:hAnsi="Times New Roman" w:eastAsia="仿宋_GB2312"/>
          <w:b/>
          <w:color w:val="auto"/>
          <w:sz w:val="28"/>
          <w:highlight w:val="none"/>
          <w:shd w:val="clear" w:color="auto" w:fill="auto"/>
        </w:rPr>
      </w:pPr>
      <w:bookmarkStart w:id="3" w:name="_Toc8328_WPSOffice_Level1"/>
      <w:bookmarkStart w:id="4" w:name="_Toc10908"/>
      <w:bookmarkStart w:id="5" w:name="_Toc31170"/>
      <w:bookmarkStart w:id="6" w:name="_Toc107_WPSOffice_Level1"/>
      <w:bookmarkStart w:id="7" w:name="_Toc24491"/>
      <w:bookmarkStart w:id="8" w:name="_Toc4471"/>
      <w:bookmarkStart w:id="9" w:name="_Toc23979"/>
      <w:bookmarkStart w:id="10" w:name="_Toc10799"/>
      <w:bookmarkStart w:id="11" w:name="_Toc12355_WPSOffice_Level1"/>
      <w:bookmarkStart w:id="12" w:name="_Toc30250"/>
      <w:bookmarkStart w:id="13" w:name="_Toc13747_WPSOffice_Level1"/>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1.1</w:t>
      </w:r>
      <w:r>
        <w:rPr>
          <w:rFonts w:ascii="Times New Roman" w:hAnsi="Times New Roman" w:eastAsia="仿宋_GB2312"/>
          <w:b/>
          <w:color w:val="auto"/>
          <w:sz w:val="28"/>
          <w:highlight w:val="none"/>
          <w:shd w:val="clear" w:color="auto" w:fill="auto"/>
        </w:rPr>
        <w:t>整改性建议</w:t>
      </w:r>
      <w:bookmarkEnd w:id="3"/>
      <w:bookmarkEnd w:id="4"/>
      <w:bookmarkEnd w:id="5"/>
      <w:bookmarkEnd w:id="6"/>
      <w:bookmarkEnd w:id="7"/>
      <w:bookmarkEnd w:id="8"/>
    </w:p>
    <w:p>
      <w:pPr>
        <w:pStyle w:val="2"/>
        <w:keepNext w:val="0"/>
        <w:keepLines w:val="0"/>
        <w:pageBreakBefore w:val="0"/>
        <w:widowControl w:val="0"/>
        <w:numPr>
          <w:ilvl w:val="0"/>
          <w:numId w:val="1"/>
        </w:numPr>
        <w:kinsoku/>
        <w:wordWrap/>
        <w:overflowPunct/>
        <w:topLinePunct w:val="0"/>
        <w:bidi w:val="0"/>
        <w:snapToGrid/>
        <w:spacing w:line="490" w:lineRule="exact"/>
        <w:ind w:firstLine="560" w:firstLineChars="200"/>
        <w:textAlignment w:val="auto"/>
        <w:rPr>
          <w:rFonts w:hint="default" w:ascii="Times New Roman" w:hAnsi="Times New Roman" w:eastAsia="仿宋_GB2312" w:cs="Times New Roman"/>
          <w:b w:val="0"/>
          <w:bCs/>
          <w:color w:val="auto"/>
          <w:sz w:val="28"/>
          <w:highlight w:val="none"/>
          <w:shd w:val="clear" w:color="auto" w:fill="auto"/>
          <w:lang w:val="en-US" w:eastAsia="zh-CN"/>
        </w:rPr>
      </w:pPr>
      <w:r>
        <w:rPr>
          <w:rFonts w:hint="default" w:ascii="Times New Roman" w:hAnsi="Times New Roman" w:eastAsia="仿宋_GB2312" w:cs="Times New Roman"/>
          <w:b w:val="0"/>
          <w:bCs/>
          <w:color w:val="auto"/>
          <w:sz w:val="28"/>
          <w:highlight w:val="none"/>
          <w:shd w:val="clear" w:color="auto" w:fill="auto"/>
          <w:lang w:val="en-US" w:eastAsia="zh-CN"/>
        </w:rPr>
        <w:t>在不影响设备散热和检维修等情况下，直线筛、渣浆泵和脱水机等电机应设隔声罩；</w:t>
      </w:r>
    </w:p>
    <w:p>
      <w:pPr>
        <w:numPr>
          <w:ilvl w:val="0"/>
          <w:numId w:val="0"/>
        </w:numPr>
        <w:spacing w:line="490" w:lineRule="exact"/>
        <w:ind w:firstLine="560" w:firstLineChars="200"/>
        <w:rPr>
          <w:rFonts w:hint="default" w:ascii="Times New Roman" w:hAnsi="Times New Roman" w:eastAsia="仿宋_GB2312" w:cs="Times New Roman"/>
          <w:bCs/>
          <w:color w:val="auto"/>
          <w:kern w:val="0"/>
          <w:sz w:val="28"/>
          <w:highlight w:val="none"/>
          <w:shd w:val="clear" w:color="auto" w:fill="auto"/>
          <w:lang w:val="en-US" w:eastAsia="zh-CN"/>
        </w:rPr>
      </w:pPr>
      <w:r>
        <w:rPr>
          <w:rFonts w:hint="default" w:ascii="Times New Roman" w:hAnsi="Times New Roman" w:eastAsia="仿宋_GB2312" w:cs="Times New Roman"/>
          <w:bCs/>
          <w:color w:val="auto"/>
          <w:kern w:val="0"/>
          <w:sz w:val="28"/>
          <w:highlight w:val="none"/>
          <w:shd w:val="clear" w:color="auto" w:fill="auto"/>
          <w:lang w:val="en-US" w:eastAsia="zh-CN"/>
        </w:rPr>
        <w:t>（2）在不影响散热和检维修的情况下，将采砂船船舱的柴油机和采砂船操作位隔开，并将柴油机和船泵设隔声罩；</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90" w:lineRule="exact"/>
        <w:ind w:leftChars="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val="0"/>
          <w:bCs/>
          <w:color w:val="auto"/>
          <w:sz w:val="28"/>
          <w:highlight w:val="none"/>
          <w:shd w:val="clear" w:color="auto" w:fill="auto"/>
          <w:lang w:val="en-US" w:eastAsia="zh-CN"/>
        </w:rPr>
        <w:t>（3）</w:t>
      </w:r>
      <w:r>
        <w:rPr>
          <w:rFonts w:hint="default" w:ascii="Times New Roman" w:hAnsi="Times New Roman" w:eastAsia="仿宋_GB2312" w:cs="Times New Roman"/>
          <w:bCs/>
          <w:color w:val="auto"/>
          <w:sz w:val="28"/>
          <w:szCs w:val="24"/>
          <w:highlight w:val="none"/>
          <w:shd w:val="clear" w:color="auto" w:fill="auto"/>
          <w:lang w:val="en-US" w:eastAsia="zh-CN"/>
        </w:rPr>
        <w:t>按照《工业企业设计卫生标准》(GBZ1-2010)第8.3条</w:t>
      </w:r>
      <w:r>
        <w:rPr>
          <w:rFonts w:hint="default" w:ascii="Times New Roman" w:hAnsi="Times New Roman" w:eastAsia="仿宋_GB2312" w:cs="Times New Roman"/>
          <w:color w:val="000000"/>
          <w:sz w:val="28"/>
          <w:szCs w:val="28"/>
          <w:lang w:val="en-US" w:eastAsia="zh-CN"/>
        </w:rPr>
        <w:t>的要求，①实验室操作台附近应设置1台喷淋洗眼装置，其服务半径在15m内，</w:t>
      </w:r>
      <w:r>
        <w:rPr>
          <w:rFonts w:hint="default" w:ascii="Times New Roman" w:hAnsi="Times New Roman" w:eastAsia="仿宋_GB2312" w:cs="Times New Roman"/>
          <w:sz w:val="28"/>
          <w:szCs w:val="28"/>
          <w:lang w:eastAsia="zh-CN"/>
        </w:rPr>
        <w:t>同时挂置应职业卫生应急救援电话，</w:t>
      </w:r>
      <w:r>
        <w:rPr>
          <w:rFonts w:hint="default" w:ascii="Times New Roman" w:hAnsi="Times New Roman" w:eastAsia="仿宋_GB2312" w:cs="Times New Roman"/>
          <w:sz w:val="28"/>
          <w:szCs w:val="28"/>
        </w:rPr>
        <w:t>应进行经常性维护检修，定期检测其性能和效果，确保其处于正常状态</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bidi w:val="0"/>
        <w:snapToGrid/>
        <w:spacing w:line="49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制定盐酸和氢氟酸中毒、眼灼伤和皮肤灼伤应急救援预案并配备相应的应急救援设施、设备，并定期进行演练；</w:t>
      </w:r>
    </w:p>
    <w:p>
      <w:pPr>
        <w:pStyle w:val="4"/>
        <w:keepNext w:val="0"/>
        <w:keepLines w:val="0"/>
        <w:pageBreakBefore w:val="0"/>
        <w:widowControl w:val="0"/>
        <w:kinsoku/>
        <w:wordWrap/>
        <w:overflowPunct/>
        <w:topLinePunct w:val="0"/>
        <w:bidi w:val="0"/>
        <w:snapToGrid/>
        <w:spacing w:line="490" w:lineRule="exact"/>
        <w:ind w:left="0" w:leftChars="0" w:firstLine="560" w:firstLineChars="200"/>
        <w:textAlignment w:val="auto"/>
        <w:rPr>
          <w:rFonts w:hint="default" w:ascii="Times New Roman" w:hAnsi="Times New Roman" w:eastAsia="仿宋_GB2312" w:cs="Times New Roman"/>
          <w:sz w:val="28"/>
          <w:szCs w:val="28"/>
          <w:vertAlign w:val="subscript"/>
          <w:lang w:val="en-US" w:eastAsia="zh-CN"/>
        </w:rPr>
      </w:pPr>
      <w:r>
        <w:rPr>
          <w:rFonts w:hint="default" w:ascii="Times New Roman" w:hAnsi="Times New Roman" w:eastAsia="仿宋_GB2312" w:cs="Times New Roman"/>
          <w:sz w:val="28"/>
          <w:szCs w:val="28"/>
          <w:lang w:val="en-US" w:eastAsia="zh-CN"/>
        </w:rPr>
        <w:t>（5）根据《中华人民共和国职业病防治法》和《工作场所职业病危害作业分级   第4部分：噪声》的相关要求，根据检测结果可知，精砂皮带工</w:t>
      </w:r>
      <w:r>
        <w:rPr>
          <w:rFonts w:hint="default" w:ascii="Times New Roman" w:hAnsi="Times New Roman" w:eastAsia="仿宋_GB2312" w:cs="Times New Roman"/>
          <w:b w:val="0"/>
          <w:bCs w:val="0"/>
          <w:sz w:val="28"/>
          <w:szCs w:val="28"/>
        </w:rPr>
        <w:t>L</w:t>
      </w:r>
      <w:r>
        <w:rPr>
          <w:rFonts w:hint="default" w:ascii="Times New Roman" w:hAnsi="Times New Roman" w:eastAsia="仿宋_GB2312" w:cs="Times New Roman"/>
          <w:b w:val="0"/>
          <w:bCs w:val="0"/>
          <w:sz w:val="28"/>
          <w:szCs w:val="28"/>
          <w:vertAlign w:val="subscript"/>
        </w:rPr>
        <w:t>EX，W</w:t>
      </w:r>
      <w:r>
        <w:rPr>
          <w:rFonts w:hint="default" w:ascii="Times New Roman" w:hAnsi="Times New Roman" w:eastAsia="仿宋_GB2312" w:cs="Times New Roman"/>
          <w:b/>
          <w:bCs/>
          <w:sz w:val="28"/>
          <w:szCs w:val="28"/>
          <w:vertAlign w:val="baseline"/>
          <w:lang w:val="en-US" w:eastAsia="zh-CN"/>
        </w:rPr>
        <w:t>=</w:t>
      </w:r>
      <w:r>
        <w:rPr>
          <w:rFonts w:hint="default" w:ascii="Times New Roman" w:hAnsi="Times New Roman" w:eastAsia="仿宋_GB2312" w:cs="Times New Roman"/>
          <w:b w:val="0"/>
          <w:bCs w:val="0"/>
          <w:sz w:val="28"/>
          <w:szCs w:val="28"/>
          <w:lang w:val="en-US" w:eastAsia="zh-CN"/>
        </w:rPr>
        <w:t>80.3dB（A），重选工</w:t>
      </w:r>
      <w:r>
        <w:rPr>
          <w:rFonts w:hint="default" w:ascii="Times New Roman" w:hAnsi="Times New Roman" w:eastAsia="仿宋_GB2312" w:cs="Times New Roman"/>
          <w:b w:val="0"/>
          <w:bCs w:val="0"/>
          <w:sz w:val="28"/>
          <w:szCs w:val="28"/>
        </w:rPr>
        <w:t>L</w:t>
      </w:r>
      <w:r>
        <w:rPr>
          <w:rFonts w:hint="default" w:ascii="Times New Roman" w:hAnsi="Times New Roman" w:eastAsia="仿宋_GB2312" w:cs="Times New Roman"/>
          <w:b w:val="0"/>
          <w:bCs w:val="0"/>
          <w:sz w:val="28"/>
          <w:szCs w:val="28"/>
          <w:vertAlign w:val="subscript"/>
        </w:rPr>
        <w:t>EX，W</w:t>
      </w:r>
      <w:r>
        <w:rPr>
          <w:rFonts w:hint="default" w:ascii="Times New Roman" w:hAnsi="Times New Roman" w:eastAsia="仿宋_GB2312" w:cs="Times New Roman"/>
          <w:b/>
          <w:bCs/>
          <w:sz w:val="28"/>
          <w:szCs w:val="28"/>
          <w:vertAlign w:val="baseline"/>
          <w:lang w:val="en-US" w:eastAsia="zh-CN"/>
        </w:rPr>
        <w:t>=</w:t>
      </w:r>
      <w:r>
        <w:rPr>
          <w:rFonts w:hint="default" w:ascii="Times New Roman" w:hAnsi="Times New Roman" w:eastAsia="仿宋_GB2312" w:cs="Times New Roman"/>
          <w:b w:val="0"/>
          <w:bCs w:val="0"/>
          <w:sz w:val="28"/>
          <w:szCs w:val="28"/>
          <w:lang w:val="en-US" w:eastAsia="zh-CN"/>
        </w:rPr>
        <w:t>82.0dB（A），均大于80dB（A），属于噪声作业，建议用人单位将两个噪声禁忌证患者调岗至非噪声作业岗位，或减少精砂皮带工和重选工的接触时间，使其接触到的噪声40h等效声级即L</w:t>
      </w:r>
      <w:r>
        <w:rPr>
          <w:rFonts w:hint="default" w:ascii="Times New Roman" w:hAnsi="Times New Roman" w:eastAsia="仿宋_GB2312" w:cs="Times New Roman"/>
          <w:b w:val="0"/>
          <w:bCs w:val="0"/>
          <w:sz w:val="28"/>
          <w:szCs w:val="28"/>
          <w:vertAlign w:val="subscript"/>
          <w:lang w:val="en-US" w:eastAsia="zh-CN"/>
        </w:rPr>
        <w:t>EX，W</w:t>
      </w:r>
      <w:r>
        <w:rPr>
          <w:rFonts w:hint="default" w:ascii="Times New Roman" w:hAnsi="Times New Roman" w:eastAsia="仿宋_GB2312" w:cs="Times New Roman"/>
          <w:b w:val="0"/>
          <w:bCs w:val="0"/>
          <w:sz w:val="28"/>
          <w:szCs w:val="28"/>
          <w:vertAlign w:val="baseline"/>
          <w:lang w:val="en-US" w:eastAsia="zh-CN"/>
        </w:rPr>
        <w:t>的值小于</w:t>
      </w:r>
      <w:r>
        <w:rPr>
          <w:rFonts w:hint="default" w:ascii="Times New Roman" w:hAnsi="Times New Roman" w:eastAsia="仿宋_GB2312" w:cs="Times New Roman"/>
          <w:b w:val="0"/>
          <w:bCs w:val="0"/>
          <w:sz w:val="28"/>
          <w:szCs w:val="28"/>
          <w:lang w:val="en-US" w:eastAsia="zh-CN"/>
        </w:rPr>
        <w:t>80dB（A），并采取惩罚机制，严格要求劳动者上岗必须正确佩戴好护耳器，并根据每年的体检情况等对劳动者进行监护；</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default" w:ascii="Times New Roman" w:hAnsi="Times New Roman" w:eastAsia="仿宋_GB2312" w:cs="Times New Roman"/>
          <w:b w:val="0"/>
          <w:bCs/>
          <w:color w:val="auto"/>
          <w:sz w:val="28"/>
          <w:highlight w:val="none"/>
          <w:shd w:val="clear" w:color="auto" w:fill="auto"/>
          <w:lang w:val="en-US" w:eastAsia="zh-CN"/>
        </w:rPr>
      </w:pPr>
      <w:r>
        <w:rPr>
          <w:rFonts w:hint="default" w:ascii="Times New Roman" w:hAnsi="Times New Roman" w:eastAsia="仿宋_GB2312" w:cs="Times New Roman"/>
          <w:b w:val="0"/>
          <w:bCs/>
          <w:color w:val="auto"/>
          <w:sz w:val="28"/>
          <w:highlight w:val="none"/>
          <w:shd w:val="clear" w:color="auto" w:fill="auto"/>
          <w:lang w:eastAsia="zh-CN"/>
        </w:rPr>
        <w:t>（</w:t>
      </w:r>
      <w:r>
        <w:rPr>
          <w:rFonts w:hint="default" w:ascii="Times New Roman" w:hAnsi="Times New Roman" w:eastAsia="仿宋_GB2312" w:cs="Times New Roman"/>
          <w:b w:val="0"/>
          <w:bCs/>
          <w:color w:val="auto"/>
          <w:sz w:val="28"/>
          <w:highlight w:val="none"/>
          <w:shd w:val="clear" w:color="auto" w:fill="auto"/>
          <w:lang w:val="en-US" w:eastAsia="zh-CN"/>
        </w:rPr>
        <w:t>6</w:t>
      </w:r>
      <w:r>
        <w:rPr>
          <w:rFonts w:hint="default" w:ascii="Times New Roman" w:hAnsi="Times New Roman" w:eastAsia="仿宋_GB2312" w:cs="Times New Roman"/>
          <w:b w:val="0"/>
          <w:bCs/>
          <w:color w:val="auto"/>
          <w:sz w:val="28"/>
          <w:highlight w:val="none"/>
          <w:shd w:val="clear" w:color="auto" w:fill="auto"/>
          <w:lang w:eastAsia="zh-CN"/>
        </w:rPr>
        <w:t>）</w:t>
      </w:r>
      <w:r>
        <w:rPr>
          <w:rFonts w:hint="default" w:ascii="Times New Roman" w:hAnsi="Times New Roman" w:eastAsia="仿宋_GB2312" w:cs="Times New Roman"/>
          <w:b w:val="0"/>
          <w:bCs/>
          <w:color w:val="auto"/>
          <w:sz w:val="28"/>
          <w:highlight w:val="none"/>
          <w:shd w:val="clear" w:color="auto" w:fill="auto"/>
          <w:lang w:val="en-US" w:eastAsia="zh-CN"/>
        </w:rPr>
        <w:t>为机修工配备防尘毒半面罩（KN95滤棉、防酸性气体或蒸汽滤毒盒），为化验员配备防毒半面罩（防酸性气体或蒸汽）；</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default" w:ascii="Times New Roman" w:hAnsi="Times New Roman" w:eastAsia="仿宋_GB2312" w:cs="Times New Roman"/>
          <w:b w:val="0"/>
          <w:bCs/>
          <w:color w:val="auto"/>
          <w:sz w:val="28"/>
          <w:highlight w:val="none"/>
          <w:shd w:val="clear" w:color="auto" w:fill="auto"/>
          <w:lang w:val="en-US" w:eastAsia="zh-CN"/>
        </w:rPr>
      </w:pPr>
      <w:r>
        <w:rPr>
          <w:rFonts w:hint="default" w:ascii="Times New Roman" w:hAnsi="Times New Roman" w:eastAsia="仿宋_GB2312" w:cs="Times New Roman"/>
          <w:b w:val="0"/>
          <w:bCs/>
          <w:color w:val="auto"/>
          <w:sz w:val="28"/>
          <w:highlight w:val="none"/>
          <w:shd w:val="clear" w:color="auto" w:fill="auto"/>
          <w:lang w:eastAsia="zh-CN"/>
        </w:rPr>
        <w:t>（</w:t>
      </w:r>
      <w:r>
        <w:rPr>
          <w:rFonts w:hint="default" w:ascii="Times New Roman" w:hAnsi="Times New Roman" w:eastAsia="仿宋_GB2312" w:cs="Times New Roman"/>
          <w:b w:val="0"/>
          <w:bCs/>
          <w:color w:val="auto"/>
          <w:sz w:val="28"/>
          <w:highlight w:val="none"/>
          <w:shd w:val="clear" w:color="auto" w:fill="auto"/>
          <w:lang w:val="en-US" w:eastAsia="zh-CN"/>
        </w:rPr>
        <w:t>7</w:t>
      </w:r>
      <w:r>
        <w:rPr>
          <w:rFonts w:hint="default" w:ascii="Times New Roman" w:hAnsi="Times New Roman" w:eastAsia="仿宋_GB2312" w:cs="Times New Roman"/>
          <w:b w:val="0"/>
          <w:bCs/>
          <w:color w:val="auto"/>
          <w:sz w:val="28"/>
          <w:highlight w:val="none"/>
          <w:shd w:val="clear" w:color="auto" w:fill="auto"/>
          <w:lang w:eastAsia="zh-CN"/>
        </w:rPr>
        <w:t>）</w:t>
      </w:r>
      <w:r>
        <w:rPr>
          <w:rFonts w:hint="default" w:ascii="Times New Roman" w:hAnsi="Times New Roman" w:eastAsia="仿宋_GB2312" w:cs="Times New Roman"/>
          <w:b w:val="0"/>
          <w:bCs/>
          <w:color w:val="auto"/>
          <w:sz w:val="28"/>
          <w:highlight w:val="none"/>
          <w:shd w:val="clear" w:color="auto" w:fill="auto"/>
          <w:lang w:val="en-US" w:eastAsia="zh-CN"/>
        </w:rPr>
        <w:t>补充生产区职业病危害公告栏设置，补充生产车间警示标识的设置。</w:t>
      </w:r>
    </w:p>
    <w:p>
      <w:pPr>
        <w:keepNext/>
        <w:keepLines/>
        <w:pageBreakBefore w:val="0"/>
        <w:widowControl w:val="0"/>
        <w:kinsoku/>
        <w:wordWrap/>
        <w:overflowPunct/>
        <w:topLinePunct w:val="0"/>
        <w:autoSpaceDE/>
        <w:autoSpaceDN/>
        <w:bidi w:val="0"/>
        <w:adjustRightInd/>
        <w:snapToGrid w:val="0"/>
        <w:spacing w:line="490" w:lineRule="exact"/>
        <w:textAlignment w:val="auto"/>
        <w:outlineLvl w:val="1"/>
        <w:rPr>
          <w:rFonts w:ascii="Times New Roman" w:hAnsi="Times New Roman" w:eastAsia="仿宋_GB2312"/>
          <w:b/>
          <w:sz w:val="28"/>
          <w:highlight w:val="none"/>
          <w:shd w:val="clear" w:color="000000" w:fill="FCFCFC"/>
        </w:rPr>
      </w:pPr>
      <w:bookmarkStart w:id="14" w:name="_Toc29788"/>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1.2</w:t>
      </w:r>
      <w:r>
        <w:rPr>
          <w:rFonts w:ascii="Times New Roman" w:hAnsi="Times New Roman" w:eastAsia="仿宋_GB2312"/>
          <w:b/>
          <w:sz w:val="28"/>
          <w:highlight w:val="none"/>
          <w:shd w:val="clear" w:color="000000" w:fill="FCFCFC"/>
        </w:rPr>
        <w:t>持续改进性建议</w:t>
      </w:r>
      <w:bookmarkEnd w:id="14"/>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lang w:val="en-US" w:eastAsia="zh-CN"/>
        </w:rPr>
        <w:t>1</w:t>
      </w: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lang w:val="en-US" w:eastAsia="zh-CN"/>
        </w:rPr>
        <w:t>用人单位应严格按照</w:t>
      </w:r>
      <w:r>
        <w:rPr>
          <w:rFonts w:hint="default" w:ascii="Times New Roman" w:hAnsi="Times New Roman" w:eastAsia="仿宋_GB2312" w:cs="Times New Roman"/>
          <w:color w:val="000000"/>
          <w:sz w:val="28"/>
          <w:highlight w:val="none"/>
          <w:shd w:val="clear" w:color="auto" w:fill="auto"/>
        </w:rPr>
        <w:t>《工作场所职业卫生管理规定》（国家卫健委令[20</w:t>
      </w:r>
      <w:r>
        <w:rPr>
          <w:rFonts w:hint="default" w:ascii="Times New Roman" w:hAnsi="Times New Roman" w:eastAsia="仿宋_GB2312" w:cs="Times New Roman"/>
          <w:color w:val="000000"/>
          <w:sz w:val="28"/>
          <w:highlight w:val="none"/>
          <w:shd w:val="clear" w:color="auto" w:fill="auto"/>
          <w:lang w:val="en-US" w:eastAsia="zh-CN"/>
        </w:rPr>
        <w:t>21</w:t>
      </w:r>
      <w:r>
        <w:rPr>
          <w:rFonts w:hint="default" w:ascii="Times New Roman" w:hAnsi="Times New Roman" w:eastAsia="仿宋_GB2312" w:cs="Times New Roman"/>
          <w:color w:val="000000"/>
          <w:sz w:val="28"/>
          <w:highlight w:val="none"/>
          <w:shd w:val="clear" w:color="auto" w:fill="auto"/>
        </w:rPr>
        <w:t>]第</w:t>
      </w:r>
      <w:r>
        <w:rPr>
          <w:rFonts w:hint="default" w:ascii="Times New Roman" w:hAnsi="Times New Roman" w:eastAsia="仿宋_GB2312" w:cs="Times New Roman"/>
          <w:color w:val="000000"/>
          <w:sz w:val="28"/>
          <w:highlight w:val="none"/>
          <w:shd w:val="clear" w:color="auto" w:fill="auto"/>
          <w:lang w:val="en-US" w:eastAsia="zh-CN"/>
        </w:rPr>
        <w:t>5</w:t>
      </w:r>
      <w:r>
        <w:rPr>
          <w:rFonts w:hint="default" w:ascii="Times New Roman" w:hAnsi="Times New Roman" w:eastAsia="仿宋_GB2312" w:cs="Times New Roman"/>
          <w:color w:val="000000"/>
          <w:sz w:val="28"/>
          <w:highlight w:val="none"/>
          <w:shd w:val="clear" w:color="auto" w:fill="auto"/>
        </w:rPr>
        <w:t>号）第二十一条</w:t>
      </w:r>
      <w:r>
        <w:rPr>
          <w:rFonts w:hint="default" w:ascii="Times New Roman" w:hAnsi="Times New Roman" w:eastAsia="仿宋_GB2312" w:cs="Times New Roman"/>
          <w:color w:val="000000"/>
          <w:sz w:val="28"/>
          <w:highlight w:val="none"/>
          <w:shd w:val="clear" w:color="auto" w:fill="auto"/>
          <w:lang w:val="en-US" w:eastAsia="zh-CN"/>
        </w:rPr>
        <w:t>的规定，</w:t>
      </w:r>
      <w:r>
        <w:rPr>
          <w:rFonts w:hint="default" w:ascii="Times New Roman" w:hAnsi="Times New Roman" w:eastAsia="仿宋_GB2312" w:cs="Times New Roman"/>
          <w:color w:val="000000"/>
          <w:sz w:val="28"/>
          <w:highlight w:val="none"/>
          <w:shd w:val="clear" w:color="auto" w:fill="auto"/>
        </w:rPr>
        <w:t>落实职业病危害现状评价报告中提出的建议和措施，并将职业病危害现状评价结果及整改情况存入本单位职业卫生档案</w:t>
      </w: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rPr>
        <w:br w:type="textWrapping"/>
      </w:r>
      <w:r>
        <w:rPr>
          <w:rFonts w:hint="default" w:ascii="Times New Roman" w:hAnsi="Times New Roman" w:eastAsia="仿宋_GB2312" w:cs="Times New Roman"/>
          <w:color w:val="000000"/>
          <w:sz w:val="28"/>
          <w:highlight w:val="none"/>
          <w:shd w:val="clear" w:color="auto" w:fill="auto"/>
          <w:lang w:val="en-US" w:eastAsia="zh-CN"/>
        </w:rPr>
        <w:t xml:space="preserve">    </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2</w:t>
      </w:r>
      <w:r>
        <w:rPr>
          <w:rFonts w:hint="default" w:ascii="Times New Roman" w:hAnsi="Times New Roman" w:eastAsia="仿宋_GB2312" w:cs="Times New Roman"/>
          <w:color w:val="000000"/>
          <w:kern w:val="0"/>
          <w:sz w:val="28"/>
          <w:szCs w:val="28"/>
          <w:lang w:eastAsia="zh-CN"/>
        </w:rPr>
        <w:t>）根据《用人单位职业健康监护管理办法》（国家安全生产监督管理总局令【2012】第49号）的相关要求，对下列劳动者进行上岗前的职业健康检查：拟从事接触职业病危害作业的新录用劳动者，包括转岗到该作业岗位的劳动者；拟从事有特殊健康要求作业的劳动者。不得安排未经上岗前职业健康检查的劳动者从事接触职业病危害的作业，不得安排有职业禁忌的劳动者从事其所禁忌的作业</w:t>
      </w:r>
      <w:r>
        <w:rPr>
          <w:rFonts w:hint="default" w:ascii="Times New Roman" w:hAnsi="Times New Roman" w:eastAsia="仿宋_GB2312" w:cs="Times New Roman"/>
          <w:b w:val="0"/>
          <w:bCs/>
          <w:color w:val="auto"/>
          <w:sz w:val="28"/>
          <w:highlight w:val="none"/>
          <w:shd w:val="clear" w:color="auto" w:fill="auto"/>
          <w:lang w:val="en-US" w:eastAsia="zh-CN"/>
        </w:rPr>
        <w:t>；</w:t>
      </w:r>
    </w:p>
    <w:p>
      <w:pPr>
        <w:pStyle w:val="15"/>
        <w:keepNext w:val="0"/>
        <w:keepLines w:val="0"/>
        <w:pageBreakBefore w:val="0"/>
        <w:widowControl w:val="0"/>
        <w:numPr>
          <w:ilvl w:val="0"/>
          <w:numId w:val="0"/>
        </w:numPr>
        <w:kinsoku/>
        <w:wordWrap/>
        <w:overflowPunct/>
        <w:topLinePunct w:val="0"/>
        <w:autoSpaceDE/>
        <w:autoSpaceDN/>
        <w:bidi w:val="0"/>
        <w:snapToGrid/>
        <w:spacing w:line="490" w:lineRule="exact"/>
        <w:ind w:leftChars="0" w:right="0" w:rightChars="0" w:firstLine="560" w:firstLineChars="200"/>
        <w:jc w:val="both"/>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通过往年的体检资料可知，用人单位的采砂船操作工（外委）、采砂船操作工副手（外委）、铲车司机和抛砂工等接触职业病危害因素的人员未安排体检，</w:t>
      </w:r>
      <w:r>
        <w:rPr>
          <w:rFonts w:hint="default" w:ascii="Times New Roman" w:hAnsi="Times New Roman" w:eastAsia="仿宋_GB2312" w:cs="Times New Roman"/>
          <w:color w:val="000000"/>
          <w:kern w:val="0"/>
          <w:sz w:val="28"/>
          <w:szCs w:val="28"/>
          <w:lang w:eastAsia="zh-CN"/>
        </w:rPr>
        <w:t>用人单位应按照《职业健康监护技术规范》《用人单位职业健康监护监督管理办法》等法律、法规的要求</w:t>
      </w:r>
      <w:r>
        <w:rPr>
          <w:rFonts w:hint="default" w:ascii="Times New Roman" w:hAnsi="Times New Roman" w:eastAsia="仿宋_GB2312" w:cs="Times New Roman"/>
          <w:bCs/>
          <w:sz w:val="28"/>
          <w:szCs w:val="28"/>
        </w:rPr>
        <w:t>组织员工到有能力的单位进行职业性健康体检</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bCs/>
          <w:sz w:val="28"/>
          <w:szCs w:val="28"/>
        </w:rPr>
        <w:t>根据岗位工人接触的职业病危害因素确定体检项目，安排</w:t>
      </w:r>
      <w:r>
        <w:rPr>
          <w:rFonts w:hint="default" w:ascii="Times New Roman" w:hAnsi="Times New Roman" w:eastAsia="仿宋_GB2312" w:cs="Times New Roman"/>
          <w:bCs/>
          <w:sz w:val="28"/>
          <w:szCs w:val="28"/>
          <w:lang w:val="en-US" w:eastAsia="zh-CN"/>
        </w:rPr>
        <w:t>所有接触职业病危害</w:t>
      </w:r>
      <w:r>
        <w:rPr>
          <w:rFonts w:hint="default" w:ascii="Times New Roman" w:hAnsi="Times New Roman" w:eastAsia="仿宋_GB2312" w:cs="Times New Roman"/>
          <w:bCs/>
          <w:sz w:val="28"/>
          <w:szCs w:val="28"/>
        </w:rPr>
        <w:t>岗位工人进行体检</w:t>
      </w:r>
      <w:r>
        <w:rPr>
          <w:rFonts w:hint="default" w:ascii="Times New Roman" w:hAnsi="Times New Roman" w:eastAsia="仿宋_GB2312" w:cs="Times New Roman"/>
          <w:bCs/>
          <w:sz w:val="28"/>
          <w:szCs w:val="28"/>
          <w:lang w:val="en-US" w:eastAsia="zh-CN"/>
        </w:rPr>
        <w:t>并确保每项必检项目都能体检到</w:t>
      </w:r>
      <w:r>
        <w:rPr>
          <w:rFonts w:hint="default" w:ascii="Times New Roman" w:hAnsi="Times New Roman" w:eastAsia="仿宋_GB2312" w:cs="Times New Roman"/>
          <w:bCs/>
          <w:sz w:val="28"/>
          <w:szCs w:val="28"/>
        </w:rPr>
        <w:t>，并建立健全职工健康监护档案。</w:t>
      </w:r>
      <w:r>
        <w:rPr>
          <w:rFonts w:hint="default" w:ascii="Times New Roman" w:hAnsi="Times New Roman" w:eastAsia="仿宋_GB2312" w:cs="Times New Roman"/>
          <w:bCs/>
          <w:color w:val="auto"/>
          <w:sz w:val="28"/>
          <w:szCs w:val="28"/>
        </w:rPr>
        <w:t>职业健康检查可参考本报告附录</w:t>
      </w:r>
      <w:r>
        <w:rPr>
          <w:rFonts w:hint="default" w:ascii="Times New Roman" w:hAnsi="Times New Roman" w:eastAsia="仿宋_GB2312" w:cs="Times New Roman"/>
          <w:bCs/>
          <w:color w:val="auto"/>
          <w:sz w:val="28"/>
          <w:szCs w:val="28"/>
          <w:lang w:val="en-US" w:eastAsia="zh-CN"/>
        </w:rPr>
        <w:t>1</w:t>
      </w:r>
      <w:r>
        <w:rPr>
          <w:rFonts w:hint="default"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lang w:eastAsia="zh-CN"/>
        </w:rPr>
        <w:t>）对发现有职业禁忌证和疑似职业病或职业病患者，立即作出调岗、安排休息、身体检查合格复工等安排，并留相关证明</w:t>
      </w:r>
      <w:r>
        <w:rPr>
          <w:rFonts w:hint="default"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lang w:eastAsia="zh-CN"/>
        </w:rPr>
        <w:t>）对需要复查的劳动者，按照职业健康检查机构要求的时间安排复查和医学观察</w:t>
      </w:r>
      <w:r>
        <w:rPr>
          <w:rFonts w:hint="default"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snapToGrid/>
        <w:spacing w:line="490" w:lineRule="exact"/>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6</w:t>
      </w:r>
      <w:r>
        <w:rPr>
          <w:rFonts w:hint="default" w:ascii="Times New Roman" w:hAnsi="Times New Roman" w:eastAsia="仿宋_GB2312" w:cs="Times New Roman"/>
          <w:color w:val="000000"/>
          <w:kern w:val="0"/>
          <w:sz w:val="28"/>
          <w:szCs w:val="28"/>
          <w:lang w:eastAsia="zh-CN"/>
        </w:rPr>
        <w:t>）对准备脱离所从事的职业病危害作业或者岗位的劳动者，建议用人单位在劳动者离岗前30日内组织劳动者进行离岗时的职业健康检查。劳动者离岗前90日内的在岗期间的职业健康检查可以视为离岗时的职业健康检查</w:t>
      </w:r>
      <w:r>
        <w:rPr>
          <w:rFonts w:hint="default"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90" w:lineRule="exact"/>
        <w:ind w:firstLine="560" w:firstLineChars="200"/>
        <w:textAlignment w:val="auto"/>
        <w:rPr>
          <w:rFonts w:hint="default" w:ascii="Times New Roman" w:hAnsi="Times New Roman" w:eastAsia="仿宋_GB2312" w:cs="Times New Roman"/>
          <w:sz w:val="28"/>
          <w:highlight w:val="none"/>
          <w:lang w:eastAsia="zh-CN"/>
        </w:rPr>
      </w:pP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lang w:val="en-US" w:eastAsia="zh-CN"/>
        </w:rPr>
        <w:t>7</w:t>
      </w: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rPr>
        <w:t>按照《职业卫生档案管理规范》，加强对各种职业卫生管理制度文件的落实和实施执行记录的管理。</w:t>
      </w:r>
      <w:r>
        <w:rPr>
          <w:rFonts w:hint="default" w:ascii="Times New Roman" w:hAnsi="Times New Roman" w:eastAsia="仿宋_GB2312" w:cs="Times New Roman"/>
          <w:sz w:val="28"/>
          <w:highlight w:val="none"/>
          <w:lang w:val="en-US" w:eastAsia="zh-CN"/>
        </w:rPr>
        <w:t>完善</w:t>
      </w:r>
      <w:r>
        <w:rPr>
          <w:rFonts w:hint="default" w:ascii="Times New Roman" w:hAnsi="Times New Roman" w:eastAsia="仿宋_GB2312" w:cs="Times New Roman"/>
          <w:sz w:val="28"/>
          <w:highlight w:val="none"/>
        </w:rPr>
        <w:t>①建设项目职业卫生“三同时”档案；②职业卫生管理档案；③职业卫生宣传培训档案；④职业病危害因素监测与检测评价档案；⑤用人单位职业健康监护管理档案；⑥劳动者个人职业健康监护档案等六类档案管理目录内容</w:t>
      </w:r>
      <w:r>
        <w:rPr>
          <w:rFonts w:hint="default" w:ascii="Times New Roman" w:hAnsi="Times New Roman" w:eastAsia="仿宋_GB2312" w:cs="Times New Roman"/>
          <w:b w:val="0"/>
          <w:bCs/>
          <w:color w:val="auto"/>
          <w:sz w:val="28"/>
          <w:highlight w:val="none"/>
          <w:shd w:val="clear" w:color="auto" w:fill="auto"/>
          <w:lang w:val="en-US" w:eastAsia="zh-CN"/>
        </w:rPr>
        <w:t>；</w:t>
      </w:r>
    </w:p>
    <w:p>
      <w:pPr>
        <w:pageBreakBefore w:val="0"/>
        <w:widowControl w:val="0"/>
        <w:kinsoku/>
        <w:wordWrap/>
        <w:overflowPunct/>
        <w:topLinePunct w:val="0"/>
        <w:autoSpaceDE/>
        <w:autoSpaceDN/>
        <w:bidi w:val="0"/>
        <w:adjustRightInd/>
        <w:spacing w:line="490" w:lineRule="exact"/>
        <w:ind w:firstLine="560" w:firstLineChars="200"/>
        <w:textAlignment w:val="auto"/>
        <w:rPr>
          <w:rFonts w:hint="default" w:ascii="Times New Roman" w:hAnsi="Times New Roman" w:eastAsia="仿宋_GB2312" w:cs="Times New Roman"/>
          <w:b w:val="0"/>
          <w:bCs/>
          <w:color w:val="auto"/>
          <w:sz w:val="28"/>
          <w:highlight w:val="none"/>
          <w:shd w:val="clear" w:color="auto" w:fill="auto"/>
          <w:lang w:val="en-US" w:eastAsia="zh-CN"/>
        </w:rPr>
      </w:pPr>
      <w:r>
        <w:rPr>
          <w:rFonts w:hint="default" w:ascii="Times New Roman" w:hAnsi="Times New Roman" w:eastAsia="仿宋_GB2312" w:cs="Times New Roman"/>
          <w:color w:val="auto"/>
          <w:kern w:val="2"/>
          <w:sz w:val="28"/>
          <w:highlight w:val="none"/>
          <w:lang w:eastAsia="zh-CN"/>
        </w:rPr>
        <w:t>（</w:t>
      </w:r>
      <w:r>
        <w:rPr>
          <w:rFonts w:hint="default" w:ascii="Times New Roman" w:hAnsi="Times New Roman" w:eastAsia="仿宋_GB2312" w:cs="Times New Roman"/>
          <w:color w:val="auto"/>
          <w:kern w:val="2"/>
          <w:sz w:val="28"/>
          <w:highlight w:val="none"/>
          <w:lang w:val="en-US" w:eastAsia="zh-CN"/>
        </w:rPr>
        <w:t>8</w:t>
      </w:r>
      <w:r>
        <w:rPr>
          <w:rFonts w:hint="default" w:ascii="Times New Roman" w:hAnsi="Times New Roman" w:eastAsia="仿宋_GB2312" w:cs="Times New Roman"/>
          <w:color w:val="auto"/>
          <w:kern w:val="2"/>
          <w:sz w:val="28"/>
          <w:highlight w:val="none"/>
          <w:lang w:eastAsia="zh-CN"/>
        </w:rPr>
        <w:t>）</w:t>
      </w:r>
      <w:r>
        <w:rPr>
          <w:rFonts w:hint="default" w:ascii="Times New Roman" w:hAnsi="Times New Roman" w:eastAsia="仿宋_GB2312" w:cs="Times New Roman"/>
          <w:color w:val="auto"/>
          <w:kern w:val="2"/>
          <w:sz w:val="28"/>
          <w:szCs w:val="24"/>
          <w:highlight w:val="none"/>
          <w:lang w:eastAsia="zh-CN"/>
        </w:rPr>
        <w:t>建议</w:t>
      </w:r>
      <w:r>
        <w:rPr>
          <w:rFonts w:hint="default" w:ascii="Times New Roman" w:hAnsi="Times New Roman" w:eastAsia="仿宋_GB2312" w:cs="Times New Roman"/>
          <w:bCs w:val="0"/>
          <w:color w:val="auto"/>
          <w:kern w:val="2"/>
          <w:sz w:val="28"/>
          <w:szCs w:val="24"/>
          <w:highlight w:val="none"/>
          <w:lang w:val="en-US" w:eastAsia="zh-CN"/>
        </w:rPr>
        <w:t>用人单位</w:t>
      </w:r>
      <w:r>
        <w:rPr>
          <w:rFonts w:hint="default" w:ascii="Times New Roman" w:hAnsi="Times New Roman" w:eastAsia="仿宋_GB2312" w:cs="Times New Roman"/>
          <w:color w:val="auto"/>
          <w:kern w:val="2"/>
          <w:sz w:val="28"/>
          <w:szCs w:val="24"/>
          <w:highlight w:val="none"/>
          <w:lang w:val="en-US" w:eastAsia="zh-CN"/>
        </w:rPr>
        <w:t>的职业卫生管理人员定期检查药品，补充已使用完和更换已过期的药品。</w:t>
      </w:r>
    </w:p>
    <w:p>
      <w:pPr>
        <w:keepNext/>
        <w:keepLines/>
        <w:pageBreakBefore w:val="0"/>
        <w:widowControl w:val="0"/>
        <w:kinsoku/>
        <w:wordWrap/>
        <w:overflowPunct/>
        <w:topLinePunct w:val="0"/>
        <w:autoSpaceDE/>
        <w:autoSpaceDN/>
        <w:bidi w:val="0"/>
        <w:adjustRightInd/>
        <w:snapToGrid w:val="0"/>
        <w:spacing w:line="490" w:lineRule="exact"/>
        <w:ind w:left="0" w:firstLine="0"/>
        <w:textAlignment w:val="auto"/>
        <w:outlineLvl w:val="1"/>
        <w:rPr>
          <w:rFonts w:ascii="Times New Roman" w:hAnsi="Times New Roman" w:eastAsia="仿宋_GB2312"/>
          <w:b/>
          <w:sz w:val="28"/>
          <w:highlight w:val="none"/>
          <w:shd w:val="clear" w:color="000000" w:fill="FCFCFC"/>
        </w:rPr>
      </w:pPr>
      <w:bookmarkStart w:id="15" w:name="_Toc5195"/>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1.3</w:t>
      </w:r>
      <w:r>
        <w:rPr>
          <w:rFonts w:ascii="Times New Roman" w:hAnsi="Times New Roman" w:eastAsia="仿宋_GB2312"/>
          <w:b/>
          <w:sz w:val="28"/>
          <w:highlight w:val="none"/>
          <w:shd w:val="clear" w:color="000000" w:fill="FCFCFC"/>
        </w:rPr>
        <w:t>预防性建议</w:t>
      </w:r>
      <w:bookmarkEnd w:id="9"/>
      <w:bookmarkEnd w:id="10"/>
      <w:bookmarkEnd w:id="11"/>
      <w:bookmarkEnd w:id="12"/>
      <w:bookmarkEnd w:id="13"/>
      <w:bookmarkEnd w:id="15"/>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rPr>
      </w:pP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lang w:val="en-US" w:eastAsia="zh-CN"/>
        </w:rPr>
        <w:t>1</w:t>
      </w: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rPr>
        <w:t>加强宣传教育，加强工人对于职业病预防的知识培训，</w:t>
      </w:r>
      <w:r>
        <w:rPr>
          <w:rFonts w:hint="default" w:ascii="Times New Roman" w:hAnsi="Times New Roman" w:eastAsia="仿宋_GB2312" w:cs="Times New Roman"/>
          <w:color w:val="000000"/>
          <w:sz w:val="28"/>
          <w:highlight w:val="none"/>
          <w:shd w:val="clear" w:color="auto" w:fill="auto"/>
          <w:lang w:val="en-US" w:eastAsia="zh-CN"/>
        </w:rPr>
        <w:t>职业卫生主要负责人、管理人员应每年参加职业卫生相关培训，加强与</w:t>
      </w:r>
      <w:r>
        <w:rPr>
          <w:rFonts w:hint="default" w:ascii="Times New Roman" w:hAnsi="Times New Roman" w:eastAsia="仿宋_GB2312" w:cs="Times New Roman"/>
          <w:color w:val="000000"/>
          <w:sz w:val="28"/>
          <w:highlight w:val="none"/>
          <w:shd w:val="clear" w:color="auto" w:fill="auto"/>
        </w:rPr>
        <w:t>普及</w:t>
      </w:r>
      <w:r>
        <w:rPr>
          <w:rFonts w:hint="default" w:ascii="Times New Roman" w:hAnsi="Times New Roman" w:eastAsia="仿宋_GB2312" w:cs="Times New Roman"/>
          <w:color w:val="000000"/>
          <w:sz w:val="28"/>
          <w:highlight w:val="none"/>
          <w:shd w:val="clear" w:color="auto" w:fill="auto"/>
          <w:lang w:val="en-US" w:eastAsia="zh-CN"/>
        </w:rPr>
        <w:t>职业病防治相关</w:t>
      </w:r>
      <w:r>
        <w:rPr>
          <w:rFonts w:hint="default" w:ascii="Times New Roman" w:hAnsi="Times New Roman" w:eastAsia="仿宋_GB2312" w:cs="Times New Roman"/>
          <w:color w:val="000000"/>
          <w:sz w:val="28"/>
          <w:highlight w:val="none"/>
          <w:shd w:val="clear" w:color="auto" w:fill="auto"/>
        </w:rPr>
        <w:t>知识</w:t>
      </w:r>
      <w:r>
        <w:rPr>
          <w:rFonts w:hint="default"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lang w:val="en-US" w:eastAsia="zh-CN"/>
        </w:rPr>
      </w:pP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lang w:val="en-US" w:eastAsia="zh-CN"/>
        </w:rPr>
        <w:t>2</w:t>
      </w: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rPr>
        <w:t>加强生产设备的检维护</w:t>
      </w:r>
      <w:r>
        <w:rPr>
          <w:rFonts w:hint="default" w:ascii="Times New Roman" w:hAnsi="Times New Roman" w:eastAsia="仿宋_GB2312" w:cs="Times New Roman"/>
          <w:color w:val="000000"/>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rPr>
      </w:pPr>
      <w:r>
        <w:rPr>
          <w:rFonts w:hint="default" w:ascii="Times New Roman" w:hAnsi="Times New Roman" w:eastAsia="仿宋_GB2312" w:cs="Times New Roman"/>
          <w:color w:val="000000"/>
          <w:sz w:val="28"/>
          <w:highlight w:val="none"/>
          <w:shd w:val="clear" w:color="auto" w:fill="auto"/>
        </w:rPr>
        <w:t>（3）加强对工作场所的职业病危害警示标识进行维护，发现破损的警示标识牌应及时更换</w:t>
      </w:r>
      <w:r>
        <w:rPr>
          <w:rFonts w:hint="default"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lang w:val="en-US"/>
        </w:rPr>
      </w:pPr>
      <w:r>
        <w:rPr>
          <w:rFonts w:hint="default" w:ascii="Times New Roman" w:hAnsi="Times New Roman" w:eastAsia="仿宋_GB2312" w:cs="Times New Roman"/>
          <w:color w:val="000000"/>
          <w:sz w:val="28"/>
          <w:highlight w:val="none"/>
          <w:shd w:val="clear" w:color="auto" w:fill="auto"/>
        </w:rPr>
        <w:t>（4）加强应急救援能力，</w:t>
      </w:r>
      <w:r>
        <w:rPr>
          <w:rFonts w:hint="default" w:ascii="Times New Roman" w:hAnsi="Times New Roman" w:eastAsia="仿宋_GB2312" w:cs="Times New Roman"/>
          <w:sz w:val="28"/>
          <w:szCs w:val="28"/>
          <w:highlight w:val="none"/>
          <w:shd w:val="clear" w:color="auto" w:fill="auto"/>
          <w:lang w:eastAsia="zh-CN"/>
        </w:rPr>
        <w:t>定期维护各种</w:t>
      </w:r>
      <w:r>
        <w:rPr>
          <w:rFonts w:hint="default" w:ascii="Times New Roman" w:hAnsi="Times New Roman" w:eastAsia="仿宋_GB2312" w:cs="Times New Roman"/>
          <w:sz w:val="28"/>
          <w:szCs w:val="28"/>
          <w:highlight w:val="none"/>
          <w:shd w:val="clear" w:color="auto" w:fill="auto"/>
          <w:lang w:val="en-US" w:eastAsia="zh-CN"/>
        </w:rPr>
        <w:t>职业病防护设施</w:t>
      </w:r>
      <w:r>
        <w:rPr>
          <w:rFonts w:hint="default" w:ascii="Times New Roman" w:hAnsi="Times New Roman" w:eastAsia="仿宋_GB2312" w:cs="Times New Roman"/>
          <w:sz w:val="28"/>
          <w:szCs w:val="28"/>
          <w:highlight w:val="none"/>
          <w:shd w:val="clear" w:color="auto" w:fill="auto"/>
          <w:lang w:eastAsia="zh-CN"/>
        </w:rPr>
        <w:t>和</w:t>
      </w:r>
      <w:r>
        <w:rPr>
          <w:rFonts w:hint="default" w:ascii="Times New Roman" w:hAnsi="Times New Roman" w:eastAsia="仿宋_GB2312" w:cs="Times New Roman"/>
          <w:sz w:val="28"/>
          <w:szCs w:val="28"/>
          <w:highlight w:val="none"/>
          <w:shd w:val="clear" w:color="auto" w:fill="auto"/>
          <w:lang w:val="en-US" w:eastAsia="zh-CN"/>
        </w:rPr>
        <w:t>应急救援设备，定期组织工人进行演练</w:t>
      </w:r>
      <w:r>
        <w:rPr>
          <w:rFonts w:hint="default"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rPr>
          <w:rFonts w:hint="default" w:ascii="Times New Roman" w:hAnsi="Times New Roman" w:eastAsia="仿宋_GB2312" w:cs="Times New Roman"/>
          <w:color w:val="000000"/>
          <w:sz w:val="28"/>
          <w:szCs w:val="28"/>
          <w:highlight w:val="none"/>
          <w:shd w:val="clear" w:color="auto" w:fill="auto"/>
          <w:lang w:val="zh-CN"/>
        </w:rPr>
      </w:pP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sz w:val="28"/>
          <w:szCs w:val="28"/>
          <w:highlight w:val="none"/>
          <w:shd w:val="clear" w:color="auto" w:fill="auto"/>
          <w:lang w:val="en-US" w:eastAsia="zh-CN"/>
        </w:rPr>
        <w:t>5</w:t>
      </w:r>
      <w:r>
        <w:rPr>
          <w:rFonts w:hint="default" w:ascii="Times New Roman" w:hAnsi="Times New Roman" w:eastAsia="仿宋_GB2312" w:cs="Times New Roman"/>
          <w:sz w:val="28"/>
          <w:szCs w:val="28"/>
          <w:highlight w:val="none"/>
          <w:shd w:val="clear" w:color="auto" w:fill="auto"/>
        </w:rPr>
        <w:t>）</w:t>
      </w:r>
      <w:bookmarkStart w:id="16" w:name="OLE_LINK19"/>
      <w:r>
        <w:rPr>
          <w:rFonts w:hint="default" w:ascii="Times New Roman" w:hAnsi="Times New Roman" w:eastAsia="仿宋_GB2312" w:cs="Times New Roman"/>
          <w:color w:val="000000"/>
          <w:sz w:val="28"/>
          <w:szCs w:val="28"/>
          <w:highlight w:val="none"/>
          <w:shd w:val="clear" w:color="auto" w:fill="auto"/>
          <w:lang w:val="zh-CN"/>
        </w:rPr>
        <w:t>加强清洁卫生，</w:t>
      </w:r>
      <w:r>
        <w:rPr>
          <w:rFonts w:hint="default" w:ascii="Times New Roman" w:hAnsi="Times New Roman" w:eastAsia="仿宋_GB2312" w:cs="Times New Roman"/>
          <w:sz w:val="28"/>
          <w:szCs w:val="28"/>
          <w:highlight w:val="none"/>
          <w:shd w:val="clear" w:color="auto" w:fill="auto"/>
        </w:rPr>
        <w:t>建立合理完善的</w:t>
      </w:r>
      <w:r>
        <w:rPr>
          <w:rFonts w:hint="default" w:ascii="Times New Roman" w:hAnsi="Times New Roman" w:eastAsia="仿宋_GB2312" w:cs="Times New Roman"/>
          <w:sz w:val="28"/>
          <w:szCs w:val="28"/>
          <w:highlight w:val="none"/>
          <w:shd w:val="clear" w:color="auto" w:fill="auto"/>
          <w:lang w:eastAsia="zh-CN"/>
        </w:rPr>
        <w:t>洒水</w:t>
      </w:r>
      <w:r>
        <w:rPr>
          <w:rFonts w:hint="default" w:ascii="Times New Roman" w:hAnsi="Times New Roman" w:eastAsia="仿宋_GB2312" w:cs="Times New Roman"/>
          <w:sz w:val="28"/>
          <w:szCs w:val="28"/>
          <w:highlight w:val="none"/>
          <w:shd w:val="clear" w:color="auto" w:fill="auto"/>
        </w:rPr>
        <w:t>清扫、冲洗</w:t>
      </w:r>
      <w:r>
        <w:rPr>
          <w:rFonts w:hint="default" w:ascii="Times New Roman" w:hAnsi="Times New Roman" w:eastAsia="仿宋_GB2312" w:cs="Times New Roman"/>
          <w:sz w:val="28"/>
          <w:szCs w:val="28"/>
          <w:highlight w:val="none"/>
          <w:shd w:val="clear" w:color="auto" w:fill="auto"/>
          <w:lang w:eastAsia="zh-CN"/>
        </w:rPr>
        <w:t>工作内容</w:t>
      </w: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color w:val="000000"/>
          <w:sz w:val="28"/>
          <w:szCs w:val="28"/>
          <w:highlight w:val="none"/>
          <w:shd w:val="clear" w:color="auto" w:fill="auto"/>
          <w:lang w:val="zh-CN"/>
        </w:rPr>
        <w:t>定时用水冲洗</w:t>
      </w:r>
      <w:r>
        <w:rPr>
          <w:rFonts w:hint="default" w:ascii="Times New Roman" w:hAnsi="Times New Roman" w:eastAsia="仿宋_GB2312" w:cs="Times New Roman"/>
          <w:color w:val="000000"/>
          <w:sz w:val="28"/>
          <w:szCs w:val="28"/>
          <w:highlight w:val="none"/>
          <w:shd w:val="clear" w:color="auto" w:fill="auto"/>
          <w:lang w:val="en-US" w:eastAsia="zh-CN"/>
        </w:rPr>
        <w:t>/扫水车扫水</w:t>
      </w:r>
      <w:r>
        <w:rPr>
          <w:rFonts w:hint="default" w:ascii="Times New Roman" w:hAnsi="Times New Roman" w:eastAsia="仿宋_GB2312" w:cs="Times New Roman"/>
          <w:color w:val="000000"/>
          <w:sz w:val="28"/>
          <w:szCs w:val="28"/>
          <w:highlight w:val="none"/>
          <w:shd w:val="clear" w:color="auto" w:fill="auto"/>
          <w:lang w:val="zh-CN"/>
        </w:rPr>
        <w:t>地面，防止积尘及减少二次扬尘</w:t>
      </w:r>
      <w:bookmarkEnd w:id="16"/>
      <w:r>
        <w:rPr>
          <w:rFonts w:hint="default" w:ascii="Times New Roman" w:hAnsi="Times New Roman" w:eastAsia="仿宋_GB2312" w:cs="Times New Roman"/>
          <w:b w:val="0"/>
          <w:bCs/>
          <w:color w:val="auto"/>
          <w:sz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90" w:lineRule="exact"/>
        <w:ind w:left="0" w:leftChars="0" w:firstLine="56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28"/>
          <w:highlight w:val="none"/>
          <w:shd w:val="clear" w:color="auto" w:fill="auto"/>
          <w:lang w:eastAsia="zh-CN"/>
        </w:rPr>
        <w:t>（</w:t>
      </w:r>
      <w:r>
        <w:rPr>
          <w:rFonts w:hint="default" w:ascii="Times New Roman" w:hAnsi="Times New Roman" w:eastAsia="仿宋_GB2312" w:cs="Times New Roman"/>
          <w:sz w:val="28"/>
          <w:highlight w:val="none"/>
          <w:shd w:val="clear" w:color="auto" w:fill="auto"/>
          <w:lang w:val="en-US" w:eastAsia="zh-CN"/>
        </w:rPr>
        <w:t>6</w:t>
      </w:r>
      <w:r>
        <w:rPr>
          <w:rFonts w:hint="default" w:ascii="Times New Roman" w:hAnsi="Times New Roman" w:eastAsia="仿宋_GB2312" w:cs="Times New Roman"/>
          <w:sz w:val="28"/>
          <w:highlight w:val="none"/>
          <w:shd w:val="clear" w:color="auto" w:fill="auto"/>
          <w:lang w:eastAsia="zh-CN"/>
        </w:rPr>
        <w:t>）</w:t>
      </w:r>
      <w:r>
        <w:rPr>
          <w:rFonts w:hint="default" w:ascii="Times New Roman" w:hAnsi="Times New Roman" w:eastAsia="仿宋_GB2312" w:cs="Times New Roman"/>
          <w:sz w:val="28"/>
          <w:highlight w:val="none"/>
          <w:shd w:val="clear" w:color="auto" w:fill="auto"/>
        </w:rPr>
        <w:t>用人单位应加强监督</w:t>
      </w:r>
      <w:r>
        <w:rPr>
          <w:rFonts w:hint="default" w:ascii="Times New Roman" w:hAnsi="Times New Roman" w:eastAsia="仿宋_GB2312" w:cs="Times New Roman"/>
          <w:sz w:val="28"/>
          <w:highlight w:val="none"/>
          <w:shd w:val="clear" w:color="auto" w:fill="auto"/>
          <w:lang w:eastAsia="zh-CN"/>
        </w:rPr>
        <w:t>工人</w:t>
      </w:r>
      <w:r>
        <w:rPr>
          <w:rFonts w:hint="default" w:ascii="Times New Roman" w:hAnsi="Times New Roman" w:eastAsia="仿宋_GB2312" w:cs="Times New Roman"/>
          <w:sz w:val="28"/>
          <w:highlight w:val="none"/>
          <w:shd w:val="clear" w:color="auto" w:fill="auto"/>
        </w:rPr>
        <w:t>佩戴</w:t>
      </w:r>
      <w:r>
        <w:rPr>
          <w:rFonts w:hint="default" w:ascii="Times New Roman" w:hAnsi="Times New Roman" w:eastAsia="仿宋_GB2312" w:cs="Times New Roman"/>
          <w:sz w:val="28"/>
          <w:highlight w:val="none"/>
          <w:shd w:val="clear" w:color="auto" w:fill="auto"/>
          <w:lang w:val="en-US" w:eastAsia="zh-CN"/>
        </w:rPr>
        <w:t>KN95级别</w:t>
      </w:r>
      <w:r>
        <w:rPr>
          <w:rFonts w:hint="default" w:ascii="Times New Roman" w:hAnsi="Times New Roman" w:eastAsia="仿宋_GB2312" w:cs="Times New Roman"/>
          <w:sz w:val="28"/>
          <w:highlight w:val="none"/>
          <w:shd w:val="clear" w:color="auto" w:fill="auto"/>
        </w:rPr>
        <w:t>防尘口罩</w:t>
      </w:r>
      <w:r>
        <w:rPr>
          <w:rFonts w:hint="default" w:ascii="Times New Roman" w:hAnsi="Times New Roman" w:eastAsia="仿宋_GB2312" w:cs="Times New Roman"/>
          <w:sz w:val="28"/>
          <w:highlight w:val="none"/>
          <w:shd w:val="clear" w:color="auto" w:fill="auto"/>
          <w:lang w:eastAsia="zh-CN"/>
        </w:rPr>
        <w:t>，</w:t>
      </w:r>
      <w:r>
        <w:rPr>
          <w:rFonts w:hint="default" w:ascii="Times New Roman" w:hAnsi="Times New Roman" w:eastAsia="仿宋_GB2312" w:cs="Times New Roman"/>
          <w:sz w:val="28"/>
          <w:highlight w:val="none"/>
          <w:shd w:val="clear" w:color="auto" w:fill="auto"/>
        </w:rPr>
        <w:t>防护耳塞，</w:t>
      </w:r>
      <w:r>
        <w:rPr>
          <w:rFonts w:hint="default" w:ascii="Times New Roman" w:hAnsi="Times New Roman" w:eastAsia="仿宋_GB2312" w:cs="Times New Roman"/>
          <w:sz w:val="28"/>
          <w:highlight w:val="none"/>
          <w:shd w:val="clear" w:color="auto" w:fill="auto"/>
          <w:lang w:eastAsia="zh-CN"/>
        </w:rPr>
        <w:t>工作服等</w:t>
      </w:r>
      <w:r>
        <w:rPr>
          <w:rFonts w:hint="default" w:ascii="Times New Roman" w:hAnsi="Times New Roman" w:eastAsia="仿宋_GB2312" w:cs="Times New Roman"/>
          <w:sz w:val="28"/>
          <w:highlight w:val="none"/>
          <w:shd w:val="clear" w:color="auto" w:fill="auto"/>
        </w:rPr>
        <w:t>。并留有现场监督检查记录，对于现场不佩戴个体防护用品的人员应采用现场警告教育或罚款等其他处置方式</w:t>
      </w:r>
      <w:r>
        <w:rPr>
          <w:rFonts w:hint="default" w:ascii="Times New Roman" w:hAnsi="Times New Roman" w:eastAsia="仿宋_GB2312" w:cs="Times New Roman"/>
          <w:sz w:val="28"/>
          <w:highlight w:val="none"/>
          <w:shd w:val="clear" w:color="auto" w:fill="auto"/>
          <w:lang w:val="en-US" w:eastAsia="zh-CN"/>
        </w:rPr>
        <w:t>。</w:t>
      </w:r>
    </w:p>
    <w:p>
      <w:pPr>
        <w:numPr>
          <w:ilvl w:val="0"/>
          <w:numId w:val="0"/>
        </w:numPr>
        <w:rPr>
          <w:rFonts w:hint="eastAsia" w:ascii="仿宋_GB2312" w:hAnsi="仿宋_GB2312" w:eastAsia="仿宋_GB2312" w:cs="仿宋_GB2312"/>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2750B"/>
    <w:multiLevelType w:val="singleLevel"/>
    <w:tmpl w:val="E47275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2BD3A70"/>
    <w:rsid w:val="09CD58AC"/>
    <w:rsid w:val="0D0278B5"/>
    <w:rsid w:val="0E5E344A"/>
    <w:rsid w:val="13981443"/>
    <w:rsid w:val="14281360"/>
    <w:rsid w:val="14AE30EF"/>
    <w:rsid w:val="1605554B"/>
    <w:rsid w:val="17260790"/>
    <w:rsid w:val="1AEC6C52"/>
    <w:rsid w:val="21DB3981"/>
    <w:rsid w:val="22161683"/>
    <w:rsid w:val="2BEB4803"/>
    <w:rsid w:val="34FF13DA"/>
    <w:rsid w:val="393B0F7A"/>
    <w:rsid w:val="3B962269"/>
    <w:rsid w:val="3DC92146"/>
    <w:rsid w:val="40ED6BF8"/>
    <w:rsid w:val="418A2E7A"/>
    <w:rsid w:val="424F26ED"/>
    <w:rsid w:val="429E1C31"/>
    <w:rsid w:val="42E8276A"/>
    <w:rsid w:val="43F6578F"/>
    <w:rsid w:val="47906225"/>
    <w:rsid w:val="48246146"/>
    <w:rsid w:val="600F2178"/>
    <w:rsid w:val="62FF5264"/>
    <w:rsid w:val="66D230C1"/>
    <w:rsid w:val="698C4B81"/>
    <w:rsid w:val="6CEB1F96"/>
    <w:rsid w:val="71020212"/>
    <w:rsid w:val="7968293E"/>
    <w:rsid w:val="7B0632F7"/>
    <w:rsid w:val="7CA7175F"/>
    <w:rsid w:val="7CCE324F"/>
    <w:rsid w:val="7D04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ind w:firstLine="420"/>
    </w:p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 w:type="character" w:customStyle="1" w:styleId="11">
    <w:name w:val="font21"/>
    <w:basedOn w:val="8"/>
    <w:qFormat/>
    <w:uiPriority w:val="0"/>
    <w:rPr>
      <w:rFonts w:hint="eastAsia" w:ascii="宋体" w:hAnsi="宋体" w:eastAsia="宋体" w:cs="宋体"/>
      <w:color w:val="000000"/>
      <w:sz w:val="20"/>
      <w:szCs w:val="20"/>
      <w:u w:val="none"/>
    </w:rPr>
  </w:style>
  <w:style w:type="paragraph" w:customStyle="1" w:styleId="12">
    <w:name w:val="默认段落字体 Para Char"/>
    <w:basedOn w:val="1"/>
    <w:qFormat/>
    <w:uiPriority w:val="0"/>
    <w:rPr>
      <w:szCs w:val="24"/>
    </w:rPr>
  </w:style>
  <w:style w:type="paragraph" w:customStyle="1" w:styleId="13">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4">
    <w:name w:val="zw-表格"/>
    <w:basedOn w:val="1"/>
    <w:next w:val="1"/>
    <w:qFormat/>
    <w:uiPriority w:val="0"/>
    <w:pPr>
      <w:adjustRightInd w:val="0"/>
      <w:spacing w:line="240" w:lineRule="auto"/>
      <w:ind w:firstLine="0" w:firstLineChars="0"/>
      <w:jc w:val="center"/>
    </w:pPr>
    <w:rPr>
      <w:rFonts w:cs="Arial"/>
      <w:sz w:val="21"/>
    </w:rPr>
  </w:style>
  <w:style w:type="paragraph" w:customStyle="1" w:styleId="15">
    <w:name w:val="表格"/>
    <w:basedOn w:val="1"/>
    <w:qFormat/>
    <w:uiPriority w:val="0"/>
    <w:pPr>
      <w:spacing w:line="240" w:lineRule="auto"/>
      <w:jc w:val="center"/>
    </w:pPr>
    <w:rPr>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2021-09-02T11:19:59Z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72B767FD7FEE43818E71A1D292A290E3</vt:lpwstr>
  </property>
</Properties>
</file>