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b/>
          <w:bCs/>
          <w:sz w:val="28"/>
          <w:szCs w:val="28"/>
          <w:lang w:val="en-US" w:eastAsia="zh-CN"/>
        </w:rPr>
        <w:t>保亭黎族苗族自治县生活垃圾填埋场</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职业病危害现状</w:t>
      </w:r>
      <w:r>
        <w:rPr>
          <w:rFonts w:hint="default" w:ascii="Times New Roman" w:hAnsi="Times New Roman" w:eastAsia="仿宋_GB2312" w:cs="Times New Roman"/>
          <w:b/>
          <w:bCs/>
          <w:sz w:val="28"/>
          <w:szCs w:val="28"/>
          <w:lang w:val="en-US" w:eastAsia="zh-CN"/>
        </w:rPr>
        <w:t>评价网上公开信息</w:t>
      </w:r>
    </w:p>
    <w:p>
      <w:pPr>
        <w:adjustRightInd w:val="0"/>
        <w:snapToGrid w:val="0"/>
        <w:spacing w:line="49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根据《职业卫生技术服务机构工作规范》的要求，现将《</w:t>
      </w:r>
      <w:r>
        <w:rPr>
          <w:rFonts w:hint="eastAsia" w:ascii="Times New Roman" w:hAnsi="Times New Roman" w:eastAsia="仿宋_GB2312" w:cs="Times New Roman"/>
          <w:kern w:val="0"/>
          <w:sz w:val="28"/>
          <w:szCs w:val="28"/>
          <w:lang w:val="en-US" w:eastAsia="zh-CN"/>
        </w:rPr>
        <w:t>保亭黎族苗族自治县生活垃圾填埋场职业病危害现状</w:t>
      </w:r>
      <w:r>
        <w:rPr>
          <w:rFonts w:hint="default" w:ascii="Times New Roman" w:hAnsi="Times New Roman" w:eastAsia="仿宋_GB2312" w:cs="Times New Roman"/>
          <w:kern w:val="0"/>
          <w:sz w:val="28"/>
          <w:szCs w:val="28"/>
          <w:lang w:val="en-US" w:eastAsia="zh-CN"/>
        </w:rPr>
        <w:t>评价</w:t>
      </w:r>
      <w:r>
        <w:rPr>
          <w:rFonts w:hint="eastAsia" w:ascii="Times New Roman" w:hAnsi="Times New Roman" w:eastAsia="仿宋_GB2312" w:cs="Times New Roman"/>
          <w:kern w:val="0"/>
          <w:sz w:val="28"/>
          <w:szCs w:val="28"/>
          <w:lang w:val="en-US" w:eastAsia="zh-CN"/>
        </w:rPr>
        <w:t>报告书</w:t>
      </w:r>
      <w:r>
        <w:rPr>
          <w:rFonts w:hint="default" w:ascii="Times New Roman" w:hAnsi="Times New Roman" w:eastAsia="仿宋_GB2312" w:cs="Times New Roman"/>
          <w:kern w:val="0"/>
          <w:sz w:val="28"/>
          <w:szCs w:val="28"/>
          <w:lang w:val="en-US" w:eastAsia="zh-CN"/>
        </w:rPr>
        <w:t>》相关信息公示如下：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w:t>
      </w:r>
      <w:r>
        <w:rPr>
          <w:rFonts w:hint="eastAsia" w:ascii="Times New Roman" w:hAnsi="Times New Roman" w:eastAsia="仿宋_GB2312" w:cs="Times New Roman"/>
          <w:b w:val="0"/>
          <w:bCs w:val="0"/>
          <w:sz w:val="28"/>
          <w:szCs w:val="28"/>
          <w:lang w:val="en-US" w:eastAsia="zh-CN"/>
        </w:rPr>
        <w:t>兆博</w:t>
      </w:r>
      <w:r>
        <w:rPr>
          <w:rFonts w:hint="default" w:ascii="Times New Roman" w:hAnsi="Times New Roman" w:eastAsia="仿宋_GB2312" w:cs="Times New Roman"/>
          <w:b w:val="0"/>
          <w:bCs w:val="0"/>
          <w:sz w:val="28"/>
          <w:szCs w:val="28"/>
          <w:lang w:val="en-US" w:eastAsia="zh-CN"/>
        </w:rPr>
        <w:t>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kern w:val="2"/>
          <w:sz w:val="28"/>
          <w:szCs w:val="28"/>
          <w:lang w:val="en-US" w:eastAsia="zh-CN"/>
        </w:rPr>
        <w:t>保亭黎族苗族自治县园林环卫服务中心</w:t>
      </w:r>
      <w:r>
        <w:rPr>
          <w:rFonts w:hint="default" w:ascii="Times New Roman" w:hAnsi="Times New Roman" w:eastAsia="仿宋_GB2312" w:cs="Times New Roman"/>
          <w:b w:val="0"/>
          <w:bCs w:val="0"/>
          <w:sz w:val="28"/>
          <w:szCs w:val="28"/>
          <w:highlight w:val="none"/>
          <w:lang w:val="en-US"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Times New Roman"/>
          <w:kern w:val="0"/>
          <w:sz w:val="28"/>
          <w:szCs w:val="28"/>
          <w:lang w:val="en-US" w:eastAsia="zh-CN"/>
        </w:rPr>
        <w:t>保亭生活垃圾填埋场距</w:t>
      </w:r>
      <w:r>
        <w:rPr>
          <w:rFonts w:hint="default" w:ascii="Times New Roman" w:hAnsi="Times New Roman" w:eastAsia="仿宋_GB2312" w:cs="Times New Roman"/>
          <w:kern w:val="0"/>
          <w:sz w:val="28"/>
          <w:szCs w:val="28"/>
        </w:rPr>
        <w:t>海南省</w:t>
      </w:r>
      <w:r>
        <w:rPr>
          <w:rFonts w:hint="eastAsia" w:ascii="Times New Roman" w:hAnsi="Times New Roman" w:eastAsia="仿宋_GB2312" w:cs="Times New Roman"/>
          <w:kern w:val="0"/>
          <w:sz w:val="28"/>
          <w:szCs w:val="28"/>
          <w:lang w:val="en-US" w:eastAsia="zh-CN"/>
        </w:rPr>
        <w:t>保亭黎族苗族自治县中心位置约7公里</w:t>
      </w:r>
      <w:r>
        <w:rPr>
          <w:rFonts w:hint="default"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lang w:val="en-US" w:eastAsia="zh-CN"/>
        </w:rPr>
        <w:t>保亭垃圾填埋场距北侧保亭大道约900</w:t>
      </w:r>
      <w:r>
        <w:rPr>
          <w:rFonts w:hint="default" w:ascii="Times New Roman" w:hAnsi="Times New Roman" w:eastAsia="仿宋_GB2312" w:cs="Times New Roman"/>
          <w:kern w:val="0"/>
          <w:sz w:val="28"/>
          <w:szCs w:val="28"/>
        </w:rPr>
        <w:t>m</w:t>
      </w:r>
      <w:r>
        <w:rPr>
          <w:rFonts w:hint="default" w:ascii="Times New Roman" w:hAnsi="Times New Roman" w:eastAsia="仿宋_GB2312" w:cs="Times New Roman"/>
          <w:kern w:val="0"/>
          <w:sz w:val="28"/>
          <w:szCs w:val="28"/>
          <w:lang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val="0"/>
          <w:bCs w:val="0"/>
          <w:sz w:val="28"/>
          <w:szCs w:val="28"/>
          <w:lang w:val="en-US" w:eastAsia="zh-CN"/>
        </w:rPr>
        <w:t>黄金凤</w:t>
      </w:r>
    </w:p>
    <w:p>
      <w:pPr>
        <w:spacing w:line="490" w:lineRule="exact"/>
        <w:ind w:firstLine="562" w:firstLineChars="200"/>
        <w:jc w:val="left"/>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sz w:val="28"/>
          <w:szCs w:val="28"/>
          <w:lang w:val="en-US" w:eastAsia="zh-CN"/>
        </w:rPr>
        <w:t>保亭黎族苗族自治县生活垃圾填埋场位</w:t>
      </w:r>
      <w:r>
        <w:rPr>
          <w:rFonts w:hint="eastAsia" w:ascii="Times New Roman" w:hAnsi="Times New Roman" w:eastAsia="仿宋_GB2312" w:cs="Times New Roman"/>
          <w:sz w:val="28"/>
          <w:szCs w:val="28"/>
          <w:lang w:val="en-US" w:eastAsia="zh-CN"/>
        </w:rPr>
        <w:t>于保亭黎族苗族自治县东侧7公里外（</w:t>
      </w:r>
      <w:r>
        <w:rPr>
          <w:rFonts w:hint="eastAsia" w:ascii="Times New Roman" w:hAnsi="Times New Roman" w:eastAsia="仿宋_GB2312" w:cs="Times New Roman"/>
          <w:sz w:val="28"/>
          <w:szCs w:val="28"/>
        </w:rPr>
        <w:t>保陵路36公里+400米南侧1.2公里处</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sz w:val="28"/>
          <w:szCs w:val="28"/>
          <w:lang w:val="en-US" w:eastAsia="zh-CN"/>
        </w:rPr>
        <w:t>全场占地105</w:t>
      </w:r>
      <w:r>
        <w:rPr>
          <w:rFonts w:hint="eastAsia" w:ascii="Times New Roman" w:hAnsi="Times New Roman" w:eastAsia="仿宋_GB2312" w:cs="Times New Roman"/>
          <w:sz w:val="28"/>
          <w:szCs w:val="28"/>
        </w:rPr>
        <w:t>亩</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生活垃圾填埋场建设有垃圾填埋场、渗滤液处理站及配套的办公生活设施。</w:t>
      </w:r>
    </w:p>
    <w:p>
      <w:pPr>
        <w:spacing w:line="490" w:lineRule="exact"/>
        <w:ind w:firstLine="560" w:firstLineChars="200"/>
        <w:jc w:val="left"/>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sz w:val="28"/>
          <w:szCs w:val="28"/>
          <w:lang w:val="en-US" w:eastAsia="zh-CN"/>
        </w:rPr>
        <w:t>垃圾填埋区分为一、二期库区，其中一期库容14万立方米，2010年投入使用；二期库容47万立方米，2017年投入使用。总库容61万立方米。</w:t>
      </w:r>
      <w:r>
        <w:rPr>
          <w:rFonts w:hint="eastAsia" w:ascii="Times New Roman" w:hAnsi="Times New Roman" w:eastAsia="仿宋_GB2312" w:cs="Times New Roman"/>
          <w:kern w:val="2"/>
          <w:sz w:val="28"/>
          <w:szCs w:val="28"/>
          <w:lang w:val="en-US" w:eastAsia="zh-CN"/>
        </w:rPr>
        <w:t>保亭黎族苗族自治县园林环卫服务中心（保亭黎族苗族自治县垃圾填埋场上级单位）</w:t>
      </w:r>
      <w:r>
        <w:rPr>
          <w:rFonts w:hint="eastAsia" w:ascii="Times New Roman" w:hAnsi="Times New Roman" w:eastAsia="仿宋_GB2312" w:cs="Times New Roman"/>
          <w:sz w:val="28"/>
          <w:szCs w:val="28"/>
          <w:lang w:eastAsia="zh-CN"/>
        </w:rPr>
        <w:t>根据省住建厅《关于做好全省生活垃圾填埋场停止使用工作的函》要求，于2020年12月28日全面停止使用。截</w:t>
      </w:r>
      <w:r>
        <w:rPr>
          <w:rFonts w:hint="eastAsia" w:ascii="Times New Roman" w:hAnsi="Times New Roman" w:eastAsia="仿宋_GB2312" w:cs="Times New Roman"/>
          <w:sz w:val="28"/>
          <w:szCs w:val="28"/>
          <w:lang w:val="en-US" w:eastAsia="zh-CN"/>
        </w:rPr>
        <w:t>至</w:t>
      </w:r>
      <w:r>
        <w:rPr>
          <w:rFonts w:hint="eastAsia" w:ascii="Times New Roman" w:hAnsi="Times New Roman" w:eastAsia="仿宋_GB2312" w:cs="Times New Roman"/>
          <w:sz w:val="28"/>
          <w:szCs w:val="28"/>
          <w:lang w:eastAsia="zh-CN"/>
        </w:rPr>
        <w:t>2020年12月27日，一期二期库区共填埋生活垃圾量为46.7万吨。</w:t>
      </w:r>
      <w:r>
        <w:rPr>
          <w:rFonts w:hint="eastAsia" w:ascii="Times New Roman" w:hAnsi="Times New Roman" w:eastAsia="仿宋_GB2312" w:cs="Times New Roman"/>
          <w:sz w:val="28"/>
          <w:szCs w:val="28"/>
          <w:lang w:val="en-US" w:eastAsia="zh-CN"/>
        </w:rPr>
        <w:t>目前</w:t>
      </w:r>
      <w:r>
        <w:rPr>
          <w:rFonts w:hint="eastAsia" w:ascii="Times New Roman" w:hAnsi="Times New Roman" w:eastAsia="仿宋_GB2312" w:cs="Times New Roman"/>
          <w:kern w:val="2"/>
          <w:sz w:val="28"/>
          <w:szCs w:val="28"/>
          <w:lang w:val="en-US" w:eastAsia="zh-CN"/>
        </w:rPr>
        <w:t>保亭黎族苗族自治县垃圾填埋区已封场。</w:t>
      </w:r>
    </w:p>
    <w:p>
      <w:pPr>
        <w:spacing w:line="490" w:lineRule="exact"/>
        <w:ind w:firstLine="560" w:firstLineChars="200"/>
        <w:jc w:val="left"/>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 xml:space="preserve">渗滤液处理站于2010年7月开始调试运行，自运行启经过数次技术改进。并于2021年4月委托广东台泉环保科技有限公司负责管理渗滤液处理。 </w:t>
      </w:r>
    </w:p>
    <w:p>
      <w:pPr>
        <w:spacing w:line="490" w:lineRule="exact"/>
        <w:ind w:firstLine="560" w:firstLineChars="200"/>
        <w:jc w:val="left"/>
        <w:rPr>
          <w:rFonts w:hint="eastAsia" w:ascii="Times New Roman" w:hAnsi="Times New Roman" w:eastAsia="仿宋_GB2312"/>
          <w:sz w:val="28"/>
          <w:szCs w:val="28"/>
          <w:lang w:val="en-US" w:eastAsia="zh-CN"/>
        </w:rPr>
      </w:pPr>
      <w:r>
        <w:rPr>
          <w:rFonts w:hint="eastAsia" w:ascii="Times New Roman" w:hAnsi="Times New Roman" w:eastAsia="仿宋_GB2312" w:cs="Times New Roman"/>
          <w:kern w:val="0"/>
          <w:sz w:val="28"/>
          <w:szCs w:val="28"/>
          <w:lang w:val="en-US" w:eastAsia="zh-CN"/>
        </w:rPr>
        <w:t>本次现状评价为</w:t>
      </w:r>
      <w:r>
        <w:rPr>
          <w:rFonts w:hint="eastAsia" w:ascii="Times New Roman" w:hAnsi="Times New Roman" w:eastAsia="仿宋_GB2312"/>
          <w:sz w:val="28"/>
          <w:szCs w:val="28"/>
          <w:lang w:val="en-US" w:eastAsia="zh-CN"/>
        </w:rPr>
        <w:t>保亭黎族苗族自治县生活垃圾填埋场的首次评价。</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麦少刚、王晓霞</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eastAsia" w:ascii="Times New Roman" w:hAnsi="Times New Roman" w:eastAsia="仿宋_GB2312" w:cs="Times New Roman"/>
          <w:b w:val="0"/>
          <w:bCs w:val="0"/>
          <w:sz w:val="28"/>
          <w:szCs w:val="28"/>
          <w:lang w:val="en-US" w:eastAsia="zh-CN"/>
        </w:rPr>
        <w:t>2022.</w:t>
      </w:r>
      <w:r>
        <w:rPr>
          <w:rFonts w:hint="eastAsia" w:ascii="Times New Roman" w:hAnsi="Times New Roman" w:eastAsia="仿宋_GB2312" w:cs="Times New Roman"/>
          <w:b w:val="0"/>
          <w:bCs w:val="0"/>
          <w:sz w:val="28"/>
          <w:szCs w:val="28"/>
          <w:lang w:val="en-US" w:eastAsia="zh-CN"/>
        </w:rPr>
        <w:t>4.2</w:t>
      </w:r>
      <w:r>
        <w:rPr>
          <w:rFonts w:hint="eastAsia" w:ascii="Times New Roman" w:hAnsi="Times New Roman" w:eastAsia="仿宋_GB2312" w:cs="Times New Roman"/>
          <w:b w:val="0"/>
          <w:bCs w:val="0"/>
          <w:sz w:val="28"/>
          <w:szCs w:val="28"/>
          <w:lang w:val="en-US" w:eastAsia="zh-CN"/>
        </w:rPr>
        <w:t>5</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王健</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eastAsia" w:ascii="Times New Roman" w:hAnsi="Times New Roman" w:eastAsia="仿宋_GB2312" w:cs="Times New Roman"/>
          <w:b w:val="0"/>
          <w:bCs/>
          <w:kern w:val="0"/>
          <w:sz w:val="28"/>
          <w:szCs w:val="28"/>
          <w:lang w:val="en-US" w:eastAsia="zh-CN" w:bidi="ar"/>
        </w:rPr>
        <w:t>其他粉尘、硫化氢、氨、硫酸、氢氧化钠、过氧化氢、氮氧化物、一氧化碳、噪声、高温、工频电场</w:t>
      </w:r>
      <w:r>
        <w:rPr>
          <w:rFonts w:hint="default" w:ascii="Times New Roman" w:hAnsi="Times New Roman" w:eastAsia="仿宋_GB2312" w:cs="Times New Roman"/>
          <w:sz w:val="28"/>
          <w:szCs w:val="28"/>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通过对建设项目的综合分析，根据现场检测结果可知，在正常生产条件下，工作场所各岗位接触的职业病危害因素的浓度（强度）均符合职业卫生接触限值的要求。</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b w:val="0"/>
          <w:bCs w:val="0"/>
          <w:sz w:val="28"/>
          <w:szCs w:val="28"/>
          <w:lang w:val="en-US" w:eastAsia="zh-CN"/>
        </w:rPr>
        <w:t>评价结论</w:t>
      </w:r>
      <w:r>
        <w:rPr>
          <w:rFonts w:hint="eastAsia" w:ascii="Times New Roman" w:hAnsi="Times New Roman" w:eastAsia="仿宋_GB2312" w:cs="Times New Roman"/>
          <w:b w:val="0"/>
          <w:bCs w:val="0"/>
          <w:sz w:val="28"/>
          <w:szCs w:val="28"/>
          <w:lang w:val="en-US" w:eastAsia="zh-CN"/>
        </w:rPr>
        <w:t>见</w:t>
      </w:r>
      <w:r>
        <w:rPr>
          <w:rFonts w:hint="eastAsia" w:ascii="Times New Roman" w:hAnsi="Times New Roman" w:eastAsia="仿宋_GB2312" w:cs="Times New Roman"/>
          <w:sz w:val="28"/>
          <w:szCs w:val="28"/>
          <w:lang w:val="en-US" w:eastAsia="zh-CN"/>
        </w:rPr>
        <w:t>下表</w:t>
      </w:r>
    </w:p>
    <w:tbl>
      <w:tblPr>
        <w:tblStyle w:val="12"/>
        <w:tblW w:w="0" w:type="auto"/>
        <w:jc w:val="center"/>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1524"/>
        <w:gridCol w:w="4066"/>
      </w:tblGrid>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22" w:type="dxa"/>
            <w:gridSpan w:val="3"/>
            <w:tcBorders>
              <w:top w:val="nil"/>
              <w:bottom w:val="single" w:color="auto"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90" w:lineRule="exact"/>
              <w:jc w:val="center"/>
              <w:textAlignment w:val="auto"/>
              <w:rPr>
                <w:rFonts w:ascii="Times New Roman" w:hAnsi="Times New Roman"/>
                <w:bCs/>
                <w:sz w:val="24"/>
                <w:szCs w:val="24"/>
              </w:rPr>
            </w:pPr>
            <w:r>
              <w:rPr>
                <w:rFonts w:ascii="Times New Roman" w:hAnsi="Times New Roman" w:eastAsia="仿宋_GB2312"/>
                <w:b/>
                <w:kern w:val="0"/>
                <w:sz w:val="28"/>
                <w:szCs w:val="28"/>
                <w:lang w:val="en-GB"/>
              </w:rPr>
              <w:t>表</w:t>
            </w:r>
            <w:r>
              <w:rPr>
                <w:rFonts w:ascii="Times New Roman" w:hAnsi="Times New Roman" w:eastAsia="仿宋_GB2312"/>
                <w:b/>
                <w:sz w:val="28"/>
                <w:szCs w:val="28"/>
              </w:rPr>
              <w:t>用人单位职业病危害现状评价分项结论</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2932" w:type="dxa"/>
            <w:tcBorders>
              <w:top w:val="single" w:color="auto" w:sz="12" w:space="0"/>
              <w:bottom w:val="single" w:color="auto" w:sz="12" w:space="0"/>
            </w:tcBorders>
            <w:noWrap w:val="0"/>
            <w:vAlign w:val="center"/>
          </w:tcPr>
          <w:p>
            <w:pPr>
              <w:adjustRightInd w:val="0"/>
              <w:snapToGrid w:val="0"/>
              <w:jc w:val="center"/>
              <w:rPr>
                <w:rFonts w:ascii="Times New Roman" w:hAnsi="Times New Roman" w:eastAsia="宋体"/>
                <w:b/>
                <w:sz w:val="24"/>
                <w:szCs w:val="24"/>
              </w:rPr>
            </w:pPr>
            <w:r>
              <w:rPr>
                <w:rFonts w:ascii="Times New Roman" w:hAnsi="Times New Roman"/>
                <w:b/>
                <w:sz w:val="24"/>
                <w:szCs w:val="24"/>
              </w:rPr>
              <w:t>工程</w:t>
            </w:r>
          </w:p>
        </w:tc>
        <w:tc>
          <w:tcPr>
            <w:tcW w:w="1524" w:type="dxa"/>
            <w:tcBorders>
              <w:top w:val="single" w:color="auto" w:sz="12" w:space="0"/>
              <w:bottom w:val="single" w:color="auto" w:sz="12" w:space="0"/>
            </w:tcBorders>
            <w:noWrap w:val="0"/>
            <w:vAlign w:val="center"/>
          </w:tcPr>
          <w:p>
            <w:pPr>
              <w:adjustRightInd w:val="0"/>
              <w:snapToGrid w:val="0"/>
              <w:jc w:val="center"/>
              <w:rPr>
                <w:rFonts w:ascii="Times New Roman" w:hAnsi="Times New Roman"/>
                <w:b/>
                <w:sz w:val="24"/>
                <w:szCs w:val="24"/>
              </w:rPr>
            </w:pPr>
            <w:r>
              <w:rPr>
                <w:rFonts w:ascii="Times New Roman" w:hAnsi="Times New Roman"/>
                <w:b/>
                <w:sz w:val="24"/>
                <w:szCs w:val="24"/>
              </w:rPr>
              <w:t>判断</w:t>
            </w:r>
          </w:p>
        </w:tc>
        <w:tc>
          <w:tcPr>
            <w:tcW w:w="4066" w:type="dxa"/>
            <w:tcBorders>
              <w:top w:val="single" w:color="auto" w:sz="12" w:space="0"/>
              <w:bottom w:val="single" w:color="auto" w:sz="12" w:space="0"/>
            </w:tcBorders>
            <w:noWrap w:val="0"/>
            <w:vAlign w:val="center"/>
          </w:tcPr>
          <w:p>
            <w:pPr>
              <w:adjustRightInd w:val="0"/>
              <w:snapToGrid w:val="0"/>
              <w:jc w:val="center"/>
              <w:rPr>
                <w:rFonts w:ascii="Times New Roman" w:hAnsi="Times New Roman"/>
                <w:b/>
                <w:sz w:val="24"/>
                <w:szCs w:val="24"/>
              </w:rPr>
            </w:pPr>
            <w:r>
              <w:rPr>
                <w:rFonts w:ascii="Times New Roman" w:hAnsi="Times New Roman"/>
                <w:b/>
                <w:sz w:val="24"/>
                <w:szCs w:val="24"/>
              </w:rPr>
              <w:t>存在问题简要说明</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2" w:type="dxa"/>
            <w:tcBorders>
              <w:top w:val="single" w:color="auto" w:sz="12" w:space="0"/>
            </w:tcBorders>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1.总体布局</w:t>
            </w:r>
          </w:p>
        </w:tc>
        <w:tc>
          <w:tcPr>
            <w:tcW w:w="1524" w:type="dxa"/>
            <w:tcBorders>
              <w:top w:val="single" w:color="auto" w:sz="12" w:space="0"/>
            </w:tcBorders>
            <w:noWrap w:val="0"/>
            <w:vAlign w:val="center"/>
          </w:tcPr>
          <w:p>
            <w:pPr>
              <w:adjustRightInd w:val="0"/>
              <w:snapToGrid w:val="0"/>
              <w:jc w:val="center"/>
              <w:rPr>
                <w:rFonts w:ascii="Times New Roman" w:hAnsi="Times New Roman"/>
                <w:bCs/>
                <w:sz w:val="24"/>
                <w:szCs w:val="24"/>
              </w:rPr>
            </w:pPr>
            <w:r>
              <w:rPr>
                <w:rFonts w:ascii="Times New Roman" w:hAnsi="Times New Roman"/>
                <w:sz w:val="24"/>
                <w:szCs w:val="24"/>
              </w:rPr>
              <w:t>基本</w:t>
            </w:r>
            <w:r>
              <w:rPr>
                <w:rFonts w:hint="eastAsia" w:ascii="Times New Roman" w:hAnsi="Times New Roman"/>
                <w:sz w:val="24"/>
                <w:szCs w:val="24"/>
                <w:lang w:val="en-US" w:eastAsia="zh-CN"/>
              </w:rPr>
              <w:t>符合</w:t>
            </w:r>
          </w:p>
        </w:tc>
        <w:tc>
          <w:tcPr>
            <w:tcW w:w="4066" w:type="dxa"/>
            <w:tcBorders>
              <w:top w:val="single" w:color="auto" w:sz="12" w:space="0"/>
            </w:tcBorders>
            <w:noWrap w:val="0"/>
            <w:vAlign w:val="center"/>
          </w:tcPr>
          <w:p>
            <w:pPr>
              <w:adjustRightInd w:val="0"/>
              <w:snapToGrid w:val="0"/>
              <w:jc w:val="center"/>
              <w:rPr>
                <w:rFonts w:ascii="Times New Roman" w:hAnsi="Times New Roman"/>
                <w:bCs/>
                <w:sz w:val="24"/>
                <w:szCs w:val="24"/>
              </w:rPr>
            </w:pPr>
            <w:r>
              <w:rPr>
                <w:rFonts w:hint="eastAsia" w:ascii="Times New Roman" w:hAnsi="Times New Roman" w:eastAsia="宋体" w:cs="Times New Roman"/>
                <w:sz w:val="24"/>
                <w:szCs w:val="24"/>
                <w:lang w:val="en-US" w:eastAsia="zh-CN"/>
              </w:rPr>
              <w:t>当地全年最小风频为西风。生产区整体沿着东南至西北区域布置；非生产区的综合楼、保安室位于场区北侧，工人宿舍及厨房位于厂区西北侧</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2.设备布局</w:t>
            </w:r>
          </w:p>
        </w:tc>
        <w:tc>
          <w:tcPr>
            <w:tcW w:w="1524"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符合</w:t>
            </w:r>
          </w:p>
        </w:tc>
        <w:tc>
          <w:tcPr>
            <w:tcW w:w="4066"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3.建筑卫生学</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w:t>
            </w:r>
            <w:r>
              <w:rPr>
                <w:rFonts w:ascii="Times New Roman" w:hAnsi="Times New Roman"/>
                <w:bCs/>
                <w:sz w:val="24"/>
                <w:szCs w:val="24"/>
              </w:rPr>
              <w:t>符合</w:t>
            </w:r>
          </w:p>
        </w:tc>
        <w:tc>
          <w:tcPr>
            <w:tcW w:w="4066"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eastAsia="宋体" w:cs="Times New Roman"/>
                <w:sz w:val="24"/>
                <w:szCs w:val="24"/>
                <w:lang w:val="en-US" w:eastAsia="zh-CN"/>
              </w:rPr>
              <w:t>渗滤液站控制室靠近渗滤液处理站，中控室与露天生化池相距约10m</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932" w:type="dxa"/>
            <w:noWrap w:val="0"/>
            <w:vAlign w:val="center"/>
          </w:tcPr>
          <w:p>
            <w:pPr>
              <w:adjustRightInd w:val="0"/>
              <w:snapToGrid w:val="0"/>
              <w:jc w:val="center"/>
              <w:rPr>
                <w:rFonts w:ascii="Times New Roman" w:hAnsi="Times New Roman" w:eastAsia="宋体"/>
                <w:bCs/>
                <w:sz w:val="24"/>
                <w:szCs w:val="24"/>
              </w:rPr>
            </w:pPr>
            <w:r>
              <w:rPr>
                <w:rFonts w:ascii="Times New Roman" w:hAnsi="Times New Roman"/>
                <w:bCs/>
                <w:sz w:val="24"/>
                <w:szCs w:val="24"/>
              </w:rPr>
              <w:t>4.辅助用室</w:t>
            </w:r>
          </w:p>
        </w:tc>
        <w:tc>
          <w:tcPr>
            <w:tcW w:w="1524" w:type="dxa"/>
            <w:noWrap w:val="0"/>
            <w:vAlign w:val="center"/>
          </w:tcPr>
          <w:p>
            <w:pPr>
              <w:adjustRightInd w:val="0"/>
              <w:snapToGrid w:val="0"/>
              <w:jc w:val="center"/>
              <w:rPr>
                <w:rFonts w:ascii="Times New Roman" w:hAnsi="Times New Roman" w:eastAsia="宋体"/>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hint="default" w:ascii="Times New Roman" w:hAnsi="Times New Roman"/>
                <w:bCs/>
                <w:sz w:val="24"/>
                <w:szCs w:val="24"/>
                <w:lang w:val="en-US"/>
              </w:rPr>
            </w:pPr>
            <w:r>
              <w:rPr>
                <w:rFonts w:hint="eastAsia" w:ascii="Times New Roman" w:hAnsi="Times New Roman" w:cs="Times New Roman"/>
                <w:sz w:val="24"/>
                <w:lang w:val="en-US" w:eastAsia="zh-CN"/>
              </w:rPr>
              <w:t>工人宿舍、厨</w:t>
            </w:r>
            <w:r>
              <w:rPr>
                <w:rFonts w:hint="eastAsia" w:ascii="Times New Roman" w:hAnsi="Times New Roman" w:eastAsia="宋体" w:cs="Times New Roman"/>
                <w:sz w:val="24"/>
                <w:lang w:val="en-US" w:eastAsia="zh-CN"/>
              </w:rPr>
              <w:t>房设置渗滤液调节池旁且</w:t>
            </w:r>
            <w:r>
              <w:rPr>
                <w:rFonts w:hint="eastAsia" w:ascii="Times New Roman" w:hAnsi="Times New Roman" w:cs="Times New Roman"/>
                <w:sz w:val="24"/>
                <w:lang w:val="en-US" w:eastAsia="zh-CN"/>
              </w:rPr>
              <w:t>距</w:t>
            </w:r>
            <w:r>
              <w:rPr>
                <w:rFonts w:hint="eastAsia" w:ascii="Times New Roman" w:hAnsi="Times New Roman" w:eastAsia="宋体" w:cs="Times New Roman"/>
                <w:sz w:val="24"/>
                <w:lang w:val="en-US" w:eastAsia="zh-CN"/>
              </w:rPr>
              <w:t>生化池等构建物</w:t>
            </w:r>
            <w:r>
              <w:rPr>
                <w:rFonts w:hint="eastAsia" w:ascii="Times New Roman" w:hAnsi="Times New Roman" w:eastAsia="宋体" w:cs="Times New Roman"/>
                <w:sz w:val="24"/>
                <w:szCs w:val="24"/>
                <w:lang w:val="en-US" w:eastAsia="zh-CN"/>
              </w:rPr>
              <w:t>约10m</w:t>
            </w:r>
            <w:r>
              <w:rPr>
                <w:rFonts w:hint="eastAsia" w:ascii="Times New Roman" w:hAnsi="Times New Roman" w:cs="Times New Roman"/>
                <w:sz w:val="24"/>
                <w:szCs w:val="24"/>
                <w:lang w:val="en-US" w:eastAsia="zh-CN"/>
              </w:rPr>
              <w:t>距离</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4.职业病危害因素</w:t>
            </w:r>
          </w:p>
        </w:tc>
        <w:tc>
          <w:tcPr>
            <w:tcW w:w="1524"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符合</w:t>
            </w:r>
          </w:p>
        </w:tc>
        <w:tc>
          <w:tcPr>
            <w:tcW w:w="4066" w:type="dxa"/>
            <w:noWrap w:val="0"/>
            <w:vAlign w:val="center"/>
          </w:tcPr>
          <w:p>
            <w:pPr>
              <w:adjustRightInd w:val="0"/>
              <w:snapToGrid w:val="0"/>
              <w:jc w:val="center"/>
              <w:rPr>
                <w:rFonts w:ascii="Times New Roman" w:hAnsi="Times New Roman" w:eastAsia="宋体"/>
                <w:bCs/>
                <w:sz w:val="24"/>
                <w:szCs w:val="24"/>
              </w:rPr>
            </w:pPr>
            <w:r>
              <w:rPr>
                <w:rFonts w:ascii="Times New Roman" w:hAnsi="Times New Roman"/>
                <w:bCs/>
                <w:sz w:val="24"/>
                <w:szCs w:val="24"/>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5.职业病防护设施</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eastAsia="宋体" w:cs="Times New Roman"/>
                <w:sz w:val="24"/>
                <w:lang w:val="en-US" w:eastAsia="zh-CN"/>
              </w:rPr>
              <w:t>职业病防护设施的维护记录不完善；</w:t>
            </w:r>
            <w:r>
              <w:rPr>
                <w:rFonts w:hint="eastAsia" w:ascii="Times New Roman" w:hAnsi="Times New Roman"/>
                <w:sz w:val="24"/>
                <w:lang w:val="en-US" w:eastAsia="zh-CN"/>
              </w:rPr>
              <w:t>加药间的氢氧化钠加药罐未设置在</w:t>
            </w:r>
            <w:r>
              <w:rPr>
                <w:rFonts w:hint="default" w:ascii="Times New Roman" w:hAnsi="Times New Roman" w:eastAsia="宋体"/>
                <w:snapToGrid w:val="0"/>
                <w:sz w:val="24"/>
                <w:szCs w:val="24"/>
              </w:rPr>
              <w:t>泄险沟</w:t>
            </w:r>
            <w:r>
              <w:rPr>
                <w:rFonts w:hint="eastAsia" w:ascii="Times New Roman" w:hAnsi="Times New Roman"/>
                <w:sz w:val="24"/>
                <w:lang w:val="en-US" w:eastAsia="zh-CN"/>
              </w:rPr>
              <w:t>、加药棚的氢氧化钠和过氧化氢未设置卸险沟</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6.应急救援设施</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hint="eastAsia" w:ascii="Times New Roman" w:hAnsi="Times New Roman" w:eastAsia="宋体" w:cs="Times New Roman"/>
                <w:bCs w:val="0"/>
                <w:sz w:val="24"/>
                <w:szCs w:val="22"/>
              </w:rPr>
            </w:pPr>
            <w:r>
              <w:rPr>
                <w:rFonts w:hint="eastAsia" w:ascii="Times New Roman" w:hAnsi="Times New Roman" w:eastAsia="宋体" w:cs="Times New Roman"/>
                <w:lang w:val="en-US" w:eastAsia="zh-CN"/>
              </w:rPr>
              <w:t>用人单位制定相关的</w:t>
            </w:r>
            <w:r>
              <w:rPr>
                <w:rFonts w:hint="eastAsia" w:ascii="Times New Roman" w:hAnsi="Times New Roman" w:eastAsia="宋体" w:cs="Times New Roman"/>
                <w:w w:val="102"/>
                <w:lang w:val="en-US" w:eastAsia="zh-CN"/>
              </w:rPr>
              <w:t>高温中暑</w:t>
            </w:r>
            <w:r>
              <w:rPr>
                <w:rFonts w:hint="eastAsia" w:ascii="Times New Roman" w:hAnsi="Times New Roman" w:eastAsia="宋体" w:cs="Times New Roman"/>
                <w:w w:val="102"/>
                <w:sz w:val="24"/>
                <w:szCs w:val="24"/>
              </w:rPr>
              <w:t>应急救援预案</w:t>
            </w:r>
            <w:r>
              <w:rPr>
                <w:rFonts w:hint="eastAsia" w:ascii="Times New Roman" w:hAnsi="Times New Roman" w:eastAsia="宋体" w:cs="Times New Roman"/>
                <w:w w:val="102"/>
                <w:sz w:val="24"/>
                <w:szCs w:val="24"/>
                <w:lang w:eastAsia="zh-CN"/>
              </w:rPr>
              <w:t>，</w:t>
            </w:r>
            <w:r>
              <w:rPr>
                <w:rFonts w:hint="eastAsia" w:ascii="Times New Roman" w:hAnsi="Times New Roman" w:eastAsia="宋体" w:cs="Times New Roman"/>
                <w:w w:val="102"/>
                <w:sz w:val="24"/>
                <w:szCs w:val="24"/>
                <w:lang w:val="en-US" w:eastAsia="zh-CN"/>
              </w:rPr>
              <w:t>缺少</w:t>
            </w:r>
            <w:r>
              <w:rPr>
                <w:rFonts w:hint="eastAsia" w:ascii="Times New Roman" w:hAnsi="Times New Roman" w:eastAsia="宋体" w:cs="Times New Roman"/>
                <w:b w:val="0"/>
                <w:bCs w:val="0"/>
                <w:w w:val="102"/>
                <w:sz w:val="24"/>
                <w:szCs w:val="24"/>
                <w:lang w:val="en-US" w:eastAsia="zh-CN" w:bidi="ar"/>
              </w:rPr>
              <w:t>受限空间作业中毒、一氧化碳中毒等专项应急预</w:t>
            </w:r>
            <w:r>
              <w:rPr>
                <w:rFonts w:hint="eastAsia" w:ascii="Times New Roman" w:hAnsi="Times New Roman" w:eastAsia="宋体" w:cs="Times New Roman"/>
                <w:w w:val="102"/>
                <w:sz w:val="24"/>
                <w:szCs w:val="24"/>
                <w:lang w:eastAsia="zh-CN"/>
              </w:rPr>
              <w:t>。</w:t>
            </w:r>
            <w:r>
              <w:rPr>
                <w:rFonts w:hint="eastAsia" w:ascii="Times New Roman" w:hAnsi="Times New Roman" w:eastAsia="宋体"/>
                <w:sz w:val="24"/>
                <w:szCs w:val="24"/>
                <w:lang w:val="en-US" w:eastAsia="zh-CN"/>
              </w:rPr>
              <w:t>但近三年未进行应急预案演练</w:t>
            </w:r>
            <w:r>
              <w:rPr>
                <w:rFonts w:hint="eastAsia" w:ascii="Times New Roman" w:hAnsi="Times New Roman" w:eastAsia="宋体" w:cs="Times New Roman"/>
                <w:sz w:val="24"/>
                <w:szCs w:val="22"/>
                <w:lang w:val="en-US" w:eastAsia="zh-CN"/>
              </w:rPr>
              <w:t>；未配备硫化氢、氨有毒气体的</w:t>
            </w:r>
            <w:r>
              <w:rPr>
                <w:rFonts w:hint="eastAsia" w:ascii="Times New Roman" w:hAnsi="Times New Roman" w:eastAsia="宋体" w:cs="Times New Roman"/>
                <w:color w:val="000000"/>
                <w:sz w:val="24"/>
                <w:szCs w:val="22"/>
              </w:rPr>
              <w:t>便携式检测报警仪</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7.职业健康监护</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不</w:t>
            </w:r>
            <w:r>
              <w:rPr>
                <w:rFonts w:ascii="Times New Roman" w:hAnsi="Times New Roman"/>
                <w:bCs/>
                <w:sz w:val="24"/>
                <w:szCs w:val="24"/>
              </w:rPr>
              <w:t>符合</w:t>
            </w:r>
          </w:p>
        </w:tc>
        <w:tc>
          <w:tcPr>
            <w:tcW w:w="4066" w:type="dxa"/>
            <w:noWrap w:val="0"/>
            <w:vAlign w:val="center"/>
          </w:tcPr>
          <w:p>
            <w:pPr>
              <w:adjustRightInd w:val="0"/>
              <w:snapToGrid w:val="0"/>
              <w:jc w:val="center"/>
              <w:rPr>
                <w:rFonts w:hint="eastAsia" w:ascii="Times New Roman" w:hAnsi="Times New Roman" w:eastAsia="宋体" w:cs="Times New Roman"/>
                <w:bCs w:val="0"/>
                <w:sz w:val="24"/>
                <w:szCs w:val="22"/>
                <w:lang w:eastAsia="zh-CN"/>
              </w:rPr>
            </w:pPr>
            <w:r>
              <w:rPr>
                <w:rFonts w:hint="eastAsia" w:ascii="Times New Roman" w:hAnsi="Times New Roman" w:eastAsia="宋体" w:cs="Times New Roman"/>
                <w:sz w:val="24"/>
                <w:szCs w:val="22"/>
                <w:lang w:val="en-US" w:eastAsia="zh-CN"/>
              </w:rPr>
              <w:t>用人单位2019年至2021年未对工人进行职业健康体检</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8.个人防护用品</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eastAsia="宋体" w:cs="Times New Roman"/>
                <w:sz w:val="24"/>
                <w:szCs w:val="28"/>
                <w:lang w:val="en-US" w:eastAsia="zh-CN"/>
              </w:rPr>
              <w:t>电工和操作工缺少防毒面具和护耳器；主操和副操缺少护耳器</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9.职业卫生管理组织机构</w:t>
            </w:r>
          </w:p>
        </w:tc>
        <w:tc>
          <w:tcPr>
            <w:tcW w:w="1524"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符合</w:t>
            </w:r>
          </w:p>
        </w:tc>
        <w:tc>
          <w:tcPr>
            <w:tcW w:w="4066" w:type="dxa"/>
            <w:noWrap w:val="0"/>
            <w:vAlign w:val="center"/>
          </w:tcPr>
          <w:p>
            <w:pPr>
              <w:adjustRightInd w:val="0"/>
              <w:snapToGrid w:val="0"/>
              <w:jc w:val="center"/>
              <w:rPr>
                <w:rFonts w:hint="eastAsia" w:ascii="Times New Roman" w:hAnsi="Times New Roman" w:eastAsia="宋体"/>
                <w:bCs/>
                <w:sz w:val="24"/>
                <w:szCs w:val="24"/>
                <w:lang w:val="en-US" w:eastAsia="zh-CN"/>
              </w:rPr>
            </w:pPr>
            <w:r>
              <w:rPr>
                <w:rFonts w:hint="eastAsia" w:ascii="Times New Roman" w:hAnsi="Times New Roman"/>
                <w:bCs/>
                <w:sz w:val="24"/>
                <w:szCs w:val="24"/>
                <w:lang w:val="en-US" w:eastAsia="zh-CN"/>
              </w:rPr>
              <w:t>/</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10.职业卫生管理制度</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职业卫生管理制度执行情况较差如职业健康监护、职业病危害告知、职业卫生培训等落实不到位</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11.职业病危害告知</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hint="default" w:ascii="Times New Roman" w:hAnsi="Times New Roman" w:eastAsia="宋体"/>
                <w:bCs/>
                <w:sz w:val="24"/>
                <w:szCs w:val="24"/>
                <w:lang w:val="en-US" w:eastAsia="zh-CN"/>
              </w:rPr>
            </w:pPr>
            <w:r>
              <w:rPr>
                <w:rFonts w:hint="eastAsia" w:ascii="Times New Roman" w:hAnsi="Times New Roman" w:eastAsia="宋体"/>
                <w:bCs/>
                <w:sz w:val="24"/>
                <w:szCs w:val="24"/>
                <w:lang w:val="en-US" w:eastAsia="zh-CN"/>
              </w:rPr>
              <w:t>现场的警示告知设置不足</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12.职业卫生培训</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基本部分</w:t>
            </w:r>
          </w:p>
        </w:tc>
        <w:tc>
          <w:tcPr>
            <w:tcW w:w="4066" w:type="dxa"/>
            <w:noWrap w:val="0"/>
            <w:vAlign w:val="center"/>
          </w:tcPr>
          <w:p>
            <w:pPr>
              <w:adjustRightInd w:val="0"/>
              <w:snapToGrid w:val="0"/>
              <w:jc w:val="center"/>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主要负责人和职业卫生管理人员未相关的职业卫生培训</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932" w:type="dxa"/>
            <w:noWrap w:val="0"/>
            <w:vAlign w:val="center"/>
          </w:tcPr>
          <w:p>
            <w:pPr>
              <w:adjustRightInd w:val="0"/>
              <w:snapToGrid w:val="0"/>
              <w:jc w:val="center"/>
              <w:rPr>
                <w:rFonts w:ascii="Times New Roman" w:hAnsi="Times New Roman"/>
                <w:bCs/>
                <w:sz w:val="24"/>
                <w:szCs w:val="24"/>
              </w:rPr>
            </w:pPr>
            <w:r>
              <w:rPr>
                <w:rFonts w:ascii="Times New Roman" w:hAnsi="Times New Roman"/>
                <w:bCs/>
                <w:sz w:val="24"/>
                <w:szCs w:val="24"/>
              </w:rPr>
              <w:t>13.职业病危害项目申报</w:t>
            </w:r>
          </w:p>
        </w:tc>
        <w:tc>
          <w:tcPr>
            <w:tcW w:w="1524" w:type="dxa"/>
            <w:noWrap w:val="0"/>
            <w:vAlign w:val="center"/>
          </w:tcPr>
          <w:p>
            <w:pPr>
              <w:adjustRightInd w:val="0"/>
              <w:snapToGrid w:val="0"/>
              <w:jc w:val="center"/>
              <w:rPr>
                <w:rFonts w:ascii="Times New Roman" w:hAnsi="Times New Roman"/>
                <w:bCs/>
                <w:sz w:val="24"/>
                <w:szCs w:val="24"/>
              </w:rPr>
            </w:pPr>
            <w:r>
              <w:rPr>
                <w:rFonts w:hint="eastAsia" w:ascii="Times New Roman" w:hAnsi="Times New Roman"/>
                <w:bCs/>
                <w:sz w:val="24"/>
                <w:szCs w:val="24"/>
                <w:lang w:val="en-US" w:eastAsia="zh-CN"/>
              </w:rPr>
              <w:t>不</w:t>
            </w:r>
            <w:r>
              <w:rPr>
                <w:rFonts w:ascii="Times New Roman" w:hAnsi="Times New Roman"/>
                <w:bCs/>
                <w:sz w:val="24"/>
                <w:szCs w:val="24"/>
              </w:rPr>
              <w:t>符合</w:t>
            </w:r>
          </w:p>
        </w:tc>
        <w:tc>
          <w:tcPr>
            <w:tcW w:w="4066" w:type="dxa"/>
            <w:noWrap w:val="0"/>
            <w:vAlign w:val="center"/>
          </w:tcPr>
          <w:p>
            <w:pPr>
              <w:adjustRightInd w:val="0"/>
              <w:snapToGrid w:val="0"/>
              <w:jc w:val="center"/>
              <w:rPr>
                <w:rFonts w:hint="default" w:ascii="Times New Roman" w:hAnsi="Times New Roman" w:eastAsia="宋体"/>
                <w:bCs/>
                <w:sz w:val="24"/>
                <w:szCs w:val="24"/>
                <w:lang w:val="en-US" w:eastAsia="zh-CN"/>
              </w:rPr>
            </w:pPr>
            <w:r>
              <w:rPr>
                <w:rFonts w:hint="eastAsia" w:ascii="Times New Roman" w:hAnsi="Times New Roman"/>
                <w:bCs/>
                <w:sz w:val="24"/>
                <w:szCs w:val="24"/>
                <w:lang w:val="en-US" w:eastAsia="zh-CN"/>
              </w:rPr>
              <w:t>未进行职业病危害申报</w:t>
            </w:r>
          </w:p>
        </w:tc>
      </w:tr>
    </w:tbl>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eastAsia" w:ascii="Times New Roman" w:eastAsia="仿宋_GB2312"/>
          <w:sz w:val="28"/>
          <w:szCs w:val="28"/>
          <w:highlight w:val="none"/>
          <w:lang w:eastAsia="zh-CN"/>
        </w:rPr>
        <w:t>根据</w:t>
      </w:r>
      <w:r>
        <w:rPr>
          <w:rFonts w:hint="eastAsia" w:ascii="Times New Roman" w:eastAsia="仿宋_GB2312"/>
          <w:sz w:val="28"/>
          <w:szCs w:val="28"/>
          <w:highlight w:val="none"/>
          <w:lang w:val="en-US" w:eastAsia="zh-CN"/>
        </w:rPr>
        <w:t>2021年</w:t>
      </w:r>
      <w:r>
        <w:rPr>
          <w:rFonts w:hint="eastAsia" w:ascii="Times New Roman" w:eastAsia="仿宋_GB2312"/>
          <w:sz w:val="28"/>
          <w:szCs w:val="28"/>
          <w:highlight w:val="none"/>
          <w:lang w:eastAsia="zh-CN"/>
        </w:rPr>
        <w:t>卫生行政部门新发布的</w:t>
      </w:r>
      <w:r>
        <w:rPr>
          <w:rFonts w:ascii="Times New Roman" w:eastAsia="仿宋_GB2312"/>
          <w:sz w:val="28"/>
          <w:szCs w:val="28"/>
          <w:highlight w:val="none"/>
        </w:rPr>
        <w:t>《国家</w:t>
      </w:r>
      <w:r>
        <w:rPr>
          <w:rFonts w:ascii="Times New Roman" w:eastAsia="仿宋_GB2312"/>
          <w:sz w:val="28"/>
          <w:szCs w:val="28"/>
        </w:rPr>
        <w:t>卫生健康委办公厅关于公布建设项目职业病危害风险分类管理目录的通知》（</w:t>
      </w:r>
      <w:r>
        <w:rPr>
          <w:rFonts w:ascii="Times New Roman" w:eastAsia="仿宋_GB2312"/>
          <w:sz w:val="28"/>
          <w:szCs w:val="28"/>
          <w:lang w:val="en-GB"/>
        </w:rPr>
        <w:t>（</w:t>
      </w:r>
      <w:r>
        <w:rPr>
          <w:rFonts w:ascii="Times New Roman" w:eastAsia="仿宋_GB2312"/>
          <w:sz w:val="28"/>
          <w:szCs w:val="28"/>
        </w:rPr>
        <w:t>国卫办职健发</w:t>
      </w:r>
      <w:r>
        <w:rPr>
          <w:rFonts w:ascii="Times New Roman" w:eastAsia="仿宋_GB2312"/>
          <w:sz w:val="28"/>
          <w:szCs w:val="28"/>
          <w:lang w:val="en-GB"/>
        </w:rPr>
        <w:t>[20</w:t>
      </w:r>
      <w:r>
        <w:rPr>
          <w:rFonts w:ascii="Times New Roman" w:eastAsia="仿宋_GB2312"/>
          <w:sz w:val="28"/>
          <w:szCs w:val="28"/>
        </w:rPr>
        <w:t>21</w:t>
      </w:r>
      <w:r>
        <w:rPr>
          <w:rFonts w:ascii="Times New Roman" w:eastAsia="仿宋_GB2312"/>
          <w:sz w:val="28"/>
          <w:szCs w:val="28"/>
          <w:lang w:val="en-GB"/>
        </w:rPr>
        <w:t>]</w:t>
      </w:r>
      <w:r>
        <w:rPr>
          <w:rFonts w:ascii="Times New Roman" w:eastAsia="仿宋_GB2312"/>
          <w:sz w:val="28"/>
          <w:szCs w:val="28"/>
        </w:rPr>
        <w:t>5</w:t>
      </w:r>
      <w:r>
        <w:rPr>
          <w:rFonts w:ascii="Times New Roman" w:eastAsia="仿宋_GB2312"/>
          <w:sz w:val="28"/>
          <w:szCs w:val="28"/>
          <w:lang w:val="en-GB"/>
        </w:rPr>
        <w:t>号）</w:t>
      </w:r>
      <w:r>
        <w:rPr>
          <w:rFonts w:ascii="Times New Roman" w:eastAsia="仿宋_GB2312"/>
          <w:sz w:val="28"/>
          <w:szCs w:val="28"/>
        </w:rPr>
        <w:t>）</w:t>
      </w:r>
      <w:r>
        <w:rPr>
          <w:rFonts w:hint="eastAsia" w:ascii="Times New Roman" w:eastAsia="仿宋_GB2312"/>
          <w:kern w:val="0"/>
          <w:sz w:val="28"/>
          <w:szCs w:val="28"/>
          <w:lang w:eastAsia="zh-CN"/>
        </w:rPr>
        <w:t>，根据</w:t>
      </w:r>
      <w:r>
        <w:rPr>
          <w:rFonts w:ascii="Times New Roman" w:eastAsia="仿宋_GB2312"/>
          <w:kern w:val="0"/>
          <w:sz w:val="28"/>
          <w:szCs w:val="28"/>
        </w:rPr>
        <w:t>用人单位</w:t>
      </w:r>
      <w:r>
        <w:rPr>
          <w:rFonts w:hint="eastAsia" w:ascii="Times New Roman" w:eastAsia="仿宋_GB2312"/>
          <w:kern w:val="0"/>
          <w:sz w:val="28"/>
          <w:szCs w:val="28"/>
          <w:lang w:eastAsia="zh-CN"/>
        </w:rPr>
        <w:t>所属行业，</w:t>
      </w:r>
      <w:r>
        <w:rPr>
          <w:rFonts w:ascii="Times New Roman" w:eastAsia="仿宋_GB2312"/>
          <w:kern w:val="0"/>
          <w:sz w:val="28"/>
          <w:szCs w:val="28"/>
        </w:rPr>
        <w:t>属于</w:t>
      </w:r>
      <w:r>
        <w:rPr>
          <w:rFonts w:ascii="Times New Roman" w:eastAsia="仿宋_GB2312"/>
          <w:bCs/>
          <w:spacing w:val="-2"/>
          <w:sz w:val="28"/>
          <w:szCs w:val="28"/>
        </w:rPr>
        <w:t>“</w:t>
      </w:r>
      <w:r>
        <w:rPr>
          <w:rFonts w:hint="eastAsia" w:ascii="Times New Roman" w:eastAsia="仿宋_GB2312"/>
          <w:bCs/>
          <w:spacing w:val="-2"/>
          <w:sz w:val="28"/>
          <w:szCs w:val="28"/>
          <w:lang w:val="en-US" w:eastAsia="zh-CN"/>
        </w:rPr>
        <w:t>环境治理业</w:t>
      </w:r>
      <w:r>
        <w:rPr>
          <w:rFonts w:ascii="Times New Roman" w:eastAsia="仿宋_GB2312"/>
          <w:color w:val="000000"/>
          <w:sz w:val="28"/>
          <w:szCs w:val="28"/>
        </w:rPr>
        <w:t>（行业代码</w:t>
      </w:r>
      <w:r>
        <w:rPr>
          <w:rFonts w:hint="eastAsia" w:ascii="Times New Roman" w:eastAsia="仿宋_GB2312"/>
          <w:color w:val="000000"/>
          <w:sz w:val="28"/>
          <w:szCs w:val="28"/>
          <w:lang w:val="en-US" w:eastAsia="zh-CN"/>
        </w:rPr>
        <w:t>N772</w:t>
      </w:r>
      <w:r>
        <w:rPr>
          <w:rFonts w:ascii="Times New Roman" w:eastAsia="仿宋_GB2312"/>
          <w:color w:val="000000"/>
          <w:sz w:val="28"/>
          <w:szCs w:val="28"/>
        </w:rPr>
        <w:t>）</w:t>
      </w:r>
      <w:r>
        <w:rPr>
          <w:rFonts w:ascii="Times New Roman" w:eastAsia="仿宋_GB2312"/>
          <w:bCs/>
          <w:spacing w:val="-2"/>
          <w:sz w:val="28"/>
          <w:szCs w:val="28"/>
        </w:rPr>
        <w:t>”中</w:t>
      </w:r>
      <w:r>
        <w:rPr>
          <w:rFonts w:hint="eastAsia" w:ascii="Times New Roman" w:eastAsia="仿宋_GB2312"/>
          <w:b/>
          <w:bCs w:val="0"/>
          <w:spacing w:val="-2"/>
          <w:sz w:val="28"/>
          <w:szCs w:val="28"/>
          <w:lang w:val="en-US" w:eastAsia="zh-CN"/>
        </w:rPr>
        <w:t>环境治理业</w:t>
      </w:r>
      <w:r>
        <w:rPr>
          <w:rFonts w:hint="eastAsia" w:ascii="Times New Roman" w:eastAsia="仿宋_GB2312"/>
          <w:b w:val="0"/>
          <w:bCs/>
          <w:spacing w:val="-2"/>
          <w:sz w:val="28"/>
          <w:szCs w:val="28"/>
          <w:lang w:val="en-US" w:eastAsia="zh-CN"/>
        </w:rPr>
        <w:t>（其他）</w:t>
      </w:r>
      <w:r>
        <w:rPr>
          <w:rFonts w:ascii="Times New Roman" w:eastAsia="仿宋_GB2312"/>
          <w:kern w:val="0"/>
          <w:sz w:val="28"/>
          <w:szCs w:val="28"/>
        </w:rPr>
        <w:t>，</w:t>
      </w:r>
      <w:r>
        <w:rPr>
          <w:rFonts w:ascii="Times New Roman" w:eastAsia="仿宋_GB2312"/>
          <w:sz w:val="28"/>
          <w:szCs w:val="28"/>
        </w:rPr>
        <w:t>职业病危害风险类别定性为职业病危害</w:t>
      </w:r>
      <w:r>
        <w:rPr>
          <w:rFonts w:hint="eastAsia" w:ascii="Times New Roman" w:eastAsia="仿宋_GB2312"/>
          <w:b/>
          <w:bCs/>
          <w:sz w:val="28"/>
          <w:szCs w:val="28"/>
          <w:lang w:val="en-US" w:eastAsia="zh-CN"/>
        </w:rPr>
        <w:t>一般</w:t>
      </w:r>
      <w:r>
        <w:rPr>
          <w:rFonts w:ascii="Times New Roman" w:eastAsia="仿宋_GB2312"/>
          <w:sz w:val="28"/>
          <w:szCs w:val="28"/>
        </w:rPr>
        <w:t>的</w:t>
      </w:r>
      <w:r>
        <w:rPr>
          <w:rFonts w:hint="eastAsia" w:ascii="Times New Roman" w:eastAsia="仿宋_GB2312"/>
          <w:sz w:val="28"/>
          <w:szCs w:val="28"/>
          <w:lang w:eastAsia="zh-CN"/>
        </w:rPr>
        <w:t>类别</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评价</w:t>
      </w:r>
      <w:bookmarkStart w:id="0" w:name="_GoBack"/>
      <w:bookmarkEnd w:id="0"/>
      <w:r>
        <w:rPr>
          <w:rFonts w:hint="default" w:ascii="Times New Roman" w:hAnsi="Times New Roman" w:eastAsia="仿宋_GB2312" w:cs="Times New Roman"/>
          <w:sz w:val="28"/>
          <w:szCs w:val="28"/>
        </w:rPr>
        <w:t>单位根据</w:t>
      </w:r>
      <w:r>
        <w:rPr>
          <w:rFonts w:hint="eastAsia" w:ascii="Times New Roman" w:hAnsi="Times New Roman" w:eastAsia="仿宋_GB2312" w:cs="Times New Roman"/>
          <w:sz w:val="28"/>
          <w:szCs w:val="28"/>
          <w:lang w:val="en-US" w:eastAsia="zh-CN"/>
        </w:rPr>
        <w:t>内审</w:t>
      </w:r>
      <w:r>
        <w:rPr>
          <w:rFonts w:hint="default" w:ascii="Times New Roman" w:hAnsi="Times New Roman" w:eastAsia="仿宋_GB2312" w:cs="Times New Roman"/>
          <w:sz w:val="28"/>
          <w:szCs w:val="28"/>
        </w:rPr>
        <w:t>意见修改《</w:t>
      </w:r>
      <w:r>
        <w:rPr>
          <w:rFonts w:hint="eastAsia" w:ascii="Times New Roman" w:hAnsi="Times New Roman" w:eastAsia="仿宋_GB2312" w:cs="Times New Roman"/>
          <w:sz w:val="28"/>
          <w:szCs w:val="28"/>
          <w:lang w:val="en-US" w:eastAsia="zh-CN"/>
        </w:rPr>
        <w:t>现状</w:t>
      </w:r>
      <w:r>
        <w:rPr>
          <w:rFonts w:hint="default" w:ascii="Times New Roman" w:hAnsi="Times New Roman" w:eastAsia="仿宋_GB2312" w:cs="Times New Roman"/>
          <w:sz w:val="28"/>
          <w:szCs w:val="28"/>
        </w:rPr>
        <w:t>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8694B96"/>
    <w:rsid w:val="0CF956B1"/>
    <w:rsid w:val="0FFF37B1"/>
    <w:rsid w:val="13981443"/>
    <w:rsid w:val="1605554B"/>
    <w:rsid w:val="16965F54"/>
    <w:rsid w:val="186E34C1"/>
    <w:rsid w:val="1AEC6C52"/>
    <w:rsid w:val="22161683"/>
    <w:rsid w:val="2BEB4803"/>
    <w:rsid w:val="34FF13DA"/>
    <w:rsid w:val="3A560CB1"/>
    <w:rsid w:val="3B962269"/>
    <w:rsid w:val="3CD90FA3"/>
    <w:rsid w:val="3DC92146"/>
    <w:rsid w:val="418A2E7A"/>
    <w:rsid w:val="424F26ED"/>
    <w:rsid w:val="600F2178"/>
    <w:rsid w:val="6EEA6B63"/>
    <w:rsid w:val="70691D97"/>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黑体" w:hAnsi="黑体" w:eastAsia="黑体"/>
      <w:color w:val="000000"/>
      <w:sz w:val="24"/>
      <w:szCs w:val="22"/>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style>
  <w:style w:type="paragraph" w:styleId="5">
    <w:name w:val="index heading"/>
    <w:basedOn w:val="1"/>
    <w:next w:val="6"/>
    <w:semiHidden/>
    <w:qFormat/>
    <w:uiPriority w:val="0"/>
    <w:rPr>
      <w:rFonts w:ascii="Arial" w:hAnsi="Arial" w:cs="Arial"/>
      <w:b/>
      <w:bCs/>
    </w:rPr>
  </w:style>
  <w:style w:type="paragraph" w:styleId="6">
    <w:name w:val="index 1"/>
    <w:basedOn w:val="1"/>
    <w:next w:val="1"/>
    <w:unhideWhenUsed/>
    <w:uiPriority w:val="99"/>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Normal Indent"/>
    <w:basedOn w:val="1"/>
    <w:next w:val="1"/>
    <w:qFormat/>
    <w:uiPriority w:val="0"/>
    <w:pPr>
      <w:ind w:firstLine="420" w:firstLineChars="200"/>
    </w:pPr>
  </w:style>
  <w:style w:type="paragraph" w:styleId="10">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4">
    <w:name w:val="正文文本缩进 Char"/>
    <w:basedOn w:val="13"/>
    <w:link w:val="10"/>
    <w:qFormat/>
    <w:uiPriority w:val="0"/>
    <w:rPr>
      <w:kern w:val="2"/>
      <w:sz w:val="28"/>
      <w:szCs w:val="24"/>
    </w:rPr>
  </w:style>
  <w:style w:type="character" w:customStyle="1" w:styleId="15">
    <w:name w:val="标题 2 Char"/>
    <w:basedOn w:val="13"/>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2022-08-23T08:21:04Z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8C1C76530F2D4618A4B3BB633F40626A</vt:lpwstr>
  </property>
</Properties>
</file>